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3B7" w14:textId="324BF443" w:rsidR="00AA352F" w:rsidRDefault="00AA352F" w:rsidP="00AA352F">
      <w:pPr>
        <w:tabs>
          <w:tab w:val="left" w:pos="851"/>
        </w:tabs>
        <w:rPr>
          <w:b/>
          <w:bCs/>
          <w:szCs w:val="24"/>
        </w:rPr>
      </w:pPr>
    </w:p>
    <w:p w14:paraId="3F0CFA8E" w14:textId="08EC7193" w:rsidR="00D30339" w:rsidRDefault="00D30339" w:rsidP="00D30339">
      <w:pPr>
        <w:tabs>
          <w:tab w:val="left" w:pos="851"/>
        </w:tabs>
        <w:ind w:firstLine="851"/>
        <w:jc w:val="center"/>
        <w:rPr>
          <w:b/>
          <w:bCs/>
          <w:szCs w:val="24"/>
        </w:rPr>
      </w:pPr>
      <w:r>
        <w:rPr>
          <w:b/>
          <w:bCs/>
          <w:szCs w:val="24"/>
        </w:rPr>
        <w:t>PLANO TIKSLAS, UŽDAVINIAI, KORUPCIJOS RIZIKOS MAŽINIMO PRIEMONĖS, VYKDYTOJAI, LAUKIAMI REZULTATAI, VERTINIMO KRITERIJAI</w:t>
      </w:r>
    </w:p>
    <w:p w14:paraId="70A4FF13" w14:textId="6752E203" w:rsidR="00AA352F" w:rsidRDefault="00AA352F" w:rsidP="00D30339">
      <w:pPr>
        <w:tabs>
          <w:tab w:val="left" w:pos="851"/>
        </w:tabs>
        <w:ind w:firstLine="851"/>
        <w:jc w:val="center"/>
        <w:rPr>
          <w:b/>
          <w:bCs/>
          <w:szCs w:val="24"/>
        </w:rPr>
      </w:pPr>
      <w:r>
        <w:rPr>
          <w:b/>
          <w:bCs/>
          <w:szCs w:val="24"/>
        </w:rPr>
        <w:t>ATASKAITA UŽ 2023 METUS</w:t>
      </w:r>
    </w:p>
    <w:p w14:paraId="6FF4E782" w14:textId="77777777" w:rsidR="00D30339" w:rsidRDefault="00D30339" w:rsidP="00D30339">
      <w:pPr>
        <w:tabs>
          <w:tab w:val="left" w:pos="851"/>
        </w:tabs>
        <w:ind w:firstLine="851"/>
        <w:jc w:val="center"/>
        <w:rPr>
          <w:b/>
          <w:bCs/>
          <w:szCs w:val="24"/>
        </w:rPr>
      </w:pPr>
    </w:p>
    <w:p w14:paraId="216262D6" w14:textId="77777777" w:rsidR="00D30339" w:rsidRDefault="00D30339" w:rsidP="00D30339">
      <w:pPr>
        <w:tabs>
          <w:tab w:val="left" w:pos="851"/>
        </w:tabs>
        <w:ind w:firstLine="851"/>
        <w:jc w:val="both"/>
        <w:rPr>
          <w:b/>
          <w:bCs/>
          <w:caps/>
          <w:color w:val="FF0000"/>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4686"/>
        <w:gridCol w:w="1576"/>
        <w:gridCol w:w="1576"/>
        <w:gridCol w:w="2235"/>
        <w:gridCol w:w="3260"/>
      </w:tblGrid>
      <w:tr w:rsidR="00D30339" w14:paraId="7C70651A" w14:textId="77777777" w:rsidTr="003C4293">
        <w:tc>
          <w:tcPr>
            <w:tcW w:w="14029" w:type="dxa"/>
            <w:gridSpan w:val="6"/>
            <w:shd w:val="clear" w:color="auto" w:fill="FFF2CC" w:themeFill="accent4" w:themeFillTint="33"/>
          </w:tcPr>
          <w:p w14:paraId="7E5F173B" w14:textId="77777777" w:rsidR="00D30339" w:rsidRDefault="00D30339" w:rsidP="00484EB1">
            <w:pPr>
              <w:jc w:val="center"/>
              <w:rPr>
                <w:rFonts w:eastAsia="Calibri"/>
                <w:b/>
                <w:bCs/>
                <w:szCs w:val="24"/>
              </w:rPr>
            </w:pPr>
            <w:r>
              <w:rPr>
                <w:rFonts w:eastAsia="Calibri"/>
                <w:b/>
                <w:bCs/>
                <w:szCs w:val="24"/>
              </w:rPr>
              <w:t xml:space="preserve">1. UŽDAVINYS </w:t>
            </w:r>
          </w:p>
          <w:p w14:paraId="210B3E07" w14:textId="77777777" w:rsidR="00D30339" w:rsidRDefault="00D30339" w:rsidP="00484EB1">
            <w:pPr>
              <w:jc w:val="center"/>
              <w:rPr>
                <w:rFonts w:eastAsia="Calibri"/>
                <w:b/>
                <w:bCs/>
                <w:szCs w:val="24"/>
              </w:rPr>
            </w:pPr>
            <w:r>
              <w:rPr>
                <w:rFonts w:eastAsia="Calibri"/>
                <w:b/>
                <w:bCs/>
                <w:szCs w:val="24"/>
              </w:rPr>
              <w:t>Didinti įstaigų veiklos viešumą ir atskaitingumą visuomenei</w:t>
            </w:r>
          </w:p>
          <w:p w14:paraId="4757554E" w14:textId="77777777" w:rsidR="00D30339" w:rsidRDefault="00D30339" w:rsidP="00484EB1">
            <w:pPr>
              <w:rPr>
                <w:kern w:val="2"/>
                <w:szCs w:val="24"/>
              </w:rPr>
            </w:pPr>
          </w:p>
        </w:tc>
      </w:tr>
      <w:tr w:rsidR="00D30339" w14:paraId="0C62D8A5" w14:textId="77777777" w:rsidTr="003C4293">
        <w:tc>
          <w:tcPr>
            <w:tcW w:w="696" w:type="dxa"/>
          </w:tcPr>
          <w:p w14:paraId="7EE3997E" w14:textId="77777777" w:rsidR="00D30339" w:rsidRDefault="00D30339" w:rsidP="00484EB1">
            <w:pPr>
              <w:rPr>
                <w:kern w:val="2"/>
                <w:szCs w:val="24"/>
              </w:rPr>
            </w:pPr>
            <w:r>
              <w:rPr>
                <w:rFonts w:eastAsia="Calibri"/>
                <w:b/>
                <w:bCs/>
                <w:i/>
                <w:iCs/>
                <w:kern w:val="2"/>
                <w:szCs w:val="24"/>
              </w:rPr>
              <w:t>Eil. Nr.</w:t>
            </w:r>
          </w:p>
        </w:tc>
        <w:tc>
          <w:tcPr>
            <w:tcW w:w="4686" w:type="dxa"/>
          </w:tcPr>
          <w:p w14:paraId="7C846B22" w14:textId="77777777" w:rsidR="00D30339" w:rsidRDefault="00D30339" w:rsidP="00484EB1">
            <w:pPr>
              <w:rPr>
                <w:kern w:val="2"/>
                <w:szCs w:val="24"/>
              </w:rPr>
            </w:pPr>
            <w:r>
              <w:rPr>
                <w:rFonts w:eastAsia="Calibri"/>
                <w:b/>
                <w:bCs/>
                <w:i/>
                <w:iCs/>
                <w:kern w:val="2"/>
                <w:szCs w:val="24"/>
              </w:rPr>
              <w:t>Priemonės</w:t>
            </w:r>
          </w:p>
        </w:tc>
        <w:tc>
          <w:tcPr>
            <w:tcW w:w="1576" w:type="dxa"/>
          </w:tcPr>
          <w:p w14:paraId="7F0EFAFF" w14:textId="77777777" w:rsidR="00D30339" w:rsidRDefault="00D30339" w:rsidP="00484EB1">
            <w:pPr>
              <w:rPr>
                <w:kern w:val="2"/>
                <w:szCs w:val="24"/>
              </w:rPr>
            </w:pPr>
            <w:r>
              <w:rPr>
                <w:rFonts w:eastAsia="Calibri"/>
                <w:b/>
                <w:bCs/>
                <w:i/>
                <w:iCs/>
                <w:kern w:val="2"/>
                <w:szCs w:val="24"/>
              </w:rPr>
              <w:t>Vykdytojai</w:t>
            </w:r>
          </w:p>
        </w:tc>
        <w:tc>
          <w:tcPr>
            <w:tcW w:w="1576" w:type="dxa"/>
          </w:tcPr>
          <w:p w14:paraId="7CC00E61" w14:textId="77777777" w:rsidR="00D30339" w:rsidRDefault="00D30339" w:rsidP="00484EB1">
            <w:pPr>
              <w:rPr>
                <w:kern w:val="2"/>
                <w:szCs w:val="24"/>
              </w:rPr>
            </w:pPr>
            <w:r>
              <w:rPr>
                <w:rFonts w:eastAsia="Calibri"/>
                <w:b/>
                <w:bCs/>
                <w:i/>
                <w:iCs/>
                <w:kern w:val="2"/>
                <w:szCs w:val="24"/>
              </w:rPr>
              <w:t>Įgyvendinimo terminas</w:t>
            </w:r>
          </w:p>
        </w:tc>
        <w:tc>
          <w:tcPr>
            <w:tcW w:w="2235" w:type="dxa"/>
          </w:tcPr>
          <w:p w14:paraId="6EF4A848" w14:textId="77777777" w:rsidR="00D30339" w:rsidRDefault="00D30339" w:rsidP="00484EB1">
            <w:pPr>
              <w:rPr>
                <w:b/>
                <w:bCs/>
                <w:i/>
                <w:iCs/>
                <w:kern w:val="2"/>
                <w:szCs w:val="24"/>
              </w:rPr>
            </w:pPr>
            <w:r>
              <w:rPr>
                <w:b/>
                <w:bCs/>
                <w:i/>
                <w:iCs/>
                <w:kern w:val="2"/>
                <w:szCs w:val="24"/>
              </w:rPr>
              <w:t>Laukiami rezultatai</w:t>
            </w:r>
          </w:p>
        </w:tc>
        <w:tc>
          <w:tcPr>
            <w:tcW w:w="3260" w:type="dxa"/>
          </w:tcPr>
          <w:p w14:paraId="3AE8B48A" w14:textId="77777777" w:rsidR="00D30339" w:rsidRDefault="00D30339" w:rsidP="00484EB1">
            <w:pPr>
              <w:rPr>
                <w:b/>
                <w:bCs/>
                <w:i/>
                <w:iCs/>
                <w:kern w:val="2"/>
                <w:szCs w:val="24"/>
              </w:rPr>
            </w:pPr>
            <w:r>
              <w:rPr>
                <w:b/>
                <w:bCs/>
                <w:i/>
                <w:iCs/>
                <w:kern w:val="2"/>
                <w:szCs w:val="24"/>
              </w:rPr>
              <w:t>Laukiamas rezultato kriterijus</w:t>
            </w:r>
          </w:p>
        </w:tc>
      </w:tr>
      <w:tr w:rsidR="00D30339" w14:paraId="3CD836D4" w14:textId="77777777" w:rsidTr="003C4293">
        <w:tc>
          <w:tcPr>
            <w:tcW w:w="696" w:type="dxa"/>
          </w:tcPr>
          <w:p w14:paraId="18666C93" w14:textId="77777777" w:rsidR="00D30339" w:rsidRDefault="00D30339" w:rsidP="00484EB1">
            <w:pPr>
              <w:jc w:val="both"/>
              <w:rPr>
                <w:kern w:val="2"/>
                <w:szCs w:val="24"/>
              </w:rPr>
            </w:pPr>
            <w:r>
              <w:rPr>
                <w:kern w:val="2"/>
                <w:szCs w:val="24"/>
              </w:rPr>
              <w:t>1.3.</w:t>
            </w:r>
          </w:p>
        </w:tc>
        <w:tc>
          <w:tcPr>
            <w:tcW w:w="4686" w:type="dxa"/>
          </w:tcPr>
          <w:p w14:paraId="2C5FF049" w14:textId="77777777" w:rsidR="00D30339" w:rsidRDefault="00D30339" w:rsidP="00484EB1">
            <w:pPr>
              <w:jc w:val="both"/>
              <w:rPr>
                <w:kern w:val="2"/>
                <w:szCs w:val="24"/>
              </w:rPr>
            </w:pPr>
            <w:r>
              <w:rPr>
                <w:kern w:val="2"/>
                <w:szCs w:val="24"/>
              </w:rPr>
              <w:t xml:space="preserve">Interneto svetainėje ir viešai matomose įstaigų erdvėse (fojė, koridoriuje, kitoje gerai matomoje vietoje) skelbti įstaigos vertybes.    </w:t>
            </w:r>
          </w:p>
        </w:tc>
        <w:tc>
          <w:tcPr>
            <w:tcW w:w="1576" w:type="dxa"/>
          </w:tcPr>
          <w:p w14:paraId="7791F2CA" w14:textId="77777777" w:rsidR="00D30339" w:rsidRDefault="00D30339" w:rsidP="00484EB1">
            <w:pPr>
              <w:jc w:val="both"/>
              <w:rPr>
                <w:kern w:val="2"/>
                <w:szCs w:val="24"/>
              </w:rPr>
            </w:pPr>
            <w:r>
              <w:rPr>
                <w:kern w:val="2"/>
                <w:szCs w:val="24"/>
                <w:lang w:eastAsia="lt-LT"/>
              </w:rPr>
              <w:t>Ministerijai pavaldžios įstaigos, ASPĮ</w:t>
            </w:r>
          </w:p>
        </w:tc>
        <w:tc>
          <w:tcPr>
            <w:tcW w:w="1576" w:type="dxa"/>
          </w:tcPr>
          <w:p w14:paraId="351C1A28" w14:textId="77777777" w:rsidR="00D30339" w:rsidRDefault="00D30339" w:rsidP="00484EB1">
            <w:pPr>
              <w:jc w:val="both"/>
              <w:rPr>
                <w:kern w:val="2"/>
                <w:szCs w:val="24"/>
              </w:rPr>
            </w:pPr>
            <w:r>
              <w:rPr>
                <w:kern w:val="2"/>
                <w:szCs w:val="24"/>
                <w:lang w:eastAsia="lt-LT"/>
              </w:rPr>
              <w:t xml:space="preserve">Kiekvienais metais viešinama aktuali ir atnaujinta  informacija </w:t>
            </w:r>
          </w:p>
        </w:tc>
        <w:tc>
          <w:tcPr>
            <w:tcW w:w="2235" w:type="dxa"/>
          </w:tcPr>
          <w:p w14:paraId="1224443B" w14:textId="77777777" w:rsidR="00D30339" w:rsidRDefault="00D30339" w:rsidP="00484EB1">
            <w:pPr>
              <w:jc w:val="both"/>
              <w:rPr>
                <w:kern w:val="2"/>
                <w:szCs w:val="24"/>
              </w:rPr>
            </w:pPr>
            <w:r>
              <w:rPr>
                <w:kern w:val="2"/>
                <w:szCs w:val="24"/>
              </w:rPr>
              <w:t xml:space="preserve">Didesnis visuomenės ir pacientų antikorupcinis sąmoningumas. </w:t>
            </w:r>
          </w:p>
        </w:tc>
        <w:tc>
          <w:tcPr>
            <w:tcW w:w="3260" w:type="dxa"/>
          </w:tcPr>
          <w:p w14:paraId="036DF4BF" w14:textId="1F9376AB" w:rsidR="00A37C0D" w:rsidRDefault="00A37C0D" w:rsidP="00D402DE">
            <w:pPr>
              <w:pBdr>
                <w:top w:val="nil"/>
                <w:left w:val="nil"/>
                <w:bottom w:val="nil"/>
                <w:right w:val="nil"/>
                <w:between w:val="nil"/>
              </w:pBdr>
              <w:jc w:val="both"/>
              <w:rPr>
                <w:szCs w:val="24"/>
              </w:rPr>
            </w:pPr>
            <w:r>
              <w:rPr>
                <w:szCs w:val="24"/>
              </w:rPr>
              <w:t>Įgyvendinta</w:t>
            </w:r>
          </w:p>
          <w:p w14:paraId="207D54CB" w14:textId="77777777" w:rsidR="00D30339" w:rsidRDefault="00D30339" w:rsidP="00D402DE">
            <w:pPr>
              <w:pBdr>
                <w:top w:val="nil"/>
                <w:left w:val="nil"/>
                <w:bottom w:val="nil"/>
                <w:right w:val="nil"/>
                <w:between w:val="nil"/>
              </w:pBdr>
              <w:jc w:val="both"/>
              <w:rPr>
                <w:szCs w:val="24"/>
              </w:rPr>
            </w:pPr>
            <w:r>
              <w:rPr>
                <w:szCs w:val="24"/>
              </w:rPr>
              <w:t xml:space="preserve">Viešai skelbiamos įstaigos vertybės (interneto svetainėje ir </w:t>
            </w:r>
            <w:r w:rsidR="00D402DE">
              <w:rPr>
                <w:szCs w:val="24"/>
              </w:rPr>
              <w:t>2024 metų sausio 2 d. direktoriaus įsakymu Nr. 4 patvirtintoje ,,VšĮ Rokiškio psichiatrijos ligoninės kokybės politika‘‘, kuri skelbiama įstaigos dokumentų valdymo sistemoje ir prieinama darbuotojams)</w:t>
            </w:r>
          </w:p>
          <w:p w14:paraId="648E296D" w14:textId="4BDBB0FB" w:rsidR="00513B4E" w:rsidRDefault="00513B4E" w:rsidP="00D402DE">
            <w:pPr>
              <w:pBdr>
                <w:top w:val="nil"/>
                <w:left w:val="nil"/>
                <w:bottom w:val="nil"/>
                <w:right w:val="nil"/>
                <w:between w:val="nil"/>
              </w:pBdr>
              <w:jc w:val="both"/>
              <w:rPr>
                <w:kern w:val="2"/>
                <w:szCs w:val="24"/>
              </w:rPr>
            </w:pPr>
            <w:r w:rsidRPr="00513B4E">
              <w:rPr>
                <w:kern w:val="2"/>
                <w:szCs w:val="24"/>
              </w:rPr>
              <w:t>https://www.rpl.lt/vertybes/</w:t>
            </w:r>
          </w:p>
        </w:tc>
      </w:tr>
      <w:tr w:rsidR="00D30339" w14:paraId="1FAA6D94" w14:textId="77777777" w:rsidTr="003C4293">
        <w:tc>
          <w:tcPr>
            <w:tcW w:w="696" w:type="dxa"/>
          </w:tcPr>
          <w:p w14:paraId="4DBC4300" w14:textId="77777777" w:rsidR="00D30339" w:rsidRDefault="00D30339" w:rsidP="00484EB1">
            <w:pPr>
              <w:jc w:val="both"/>
              <w:rPr>
                <w:kern w:val="2"/>
                <w:szCs w:val="24"/>
              </w:rPr>
            </w:pPr>
            <w:r>
              <w:rPr>
                <w:kern w:val="2"/>
                <w:szCs w:val="24"/>
              </w:rPr>
              <w:t>1.4.</w:t>
            </w:r>
          </w:p>
        </w:tc>
        <w:tc>
          <w:tcPr>
            <w:tcW w:w="4686" w:type="dxa"/>
          </w:tcPr>
          <w:p w14:paraId="4A6324A0" w14:textId="77777777" w:rsidR="00D30339" w:rsidRDefault="00D30339" w:rsidP="00484EB1">
            <w:pPr>
              <w:jc w:val="both"/>
              <w:rPr>
                <w:kern w:val="2"/>
                <w:szCs w:val="24"/>
              </w:rPr>
            </w:pPr>
            <w:r>
              <w:rPr>
                <w:kern w:val="2"/>
                <w:szCs w:val="24"/>
              </w:rPr>
              <w:t>Organizuoti įstaigoje kasmetinę vadovybės bei darbuotojų diskusiją, tikslu aptarti įstaigos vertybes ir antikorupcinius pokyčius.</w:t>
            </w:r>
          </w:p>
        </w:tc>
        <w:tc>
          <w:tcPr>
            <w:tcW w:w="1576" w:type="dxa"/>
          </w:tcPr>
          <w:p w14:paraId="5880EEDB" w14:textId="77777777" w:rsidR="00D30339" w:rsidRDefault="00D30339" w:rsidP="00484EB1">
            <w:pPr>
              <w:jc w:val="both"/>
              <w:rPr>
                <w:kern w:val="2"/>
                <w:szCs w:val="24"/>
              </w:rPr>
            </w:pPr>
            <w:r>
              <w:rPr>
                <w:kern w:val="2"/>
                <w:szCs w:val="24"/>
                <w:lang w:eastAsia="lt-LT"/>
              </w:rPr>
              <w:t>Ministerija, Ministerijai pavaldžios įstaigos, ASPĮ</w:t>
            </w:r>
          </w:p>
        </w:tc>
        <w:tc>
          <w:tcPr>
            <w:tcW w:w="1576" w:type="dxa"/>
          </w:tcPr>
          <w:p w14:paraId="65583481" w14:textId="77777777" w:rsidR="00D30339" w:rsidRDefault="00D30339" w:rsidP="00484EB1">
            <w:pPr>
              <w:jc w:val="both"/>
              <w:rPr>
                <w:kern w:val="2"/>
                <w:szCs w:val="24"/>
                <w:lang w:eastAsia="lt-LT"/>
              </w:rPr>
            </w:pPr>
            <w:r>
              <w:rPr>
                <w:kern w:val="2"/>
                <w:szCs w:val="24"/>
                <w:lang w:eastAsia="lt-LT"/>
              </w:rPr>
              <w:t>2023 m. IV ketv.,</w:t>
            </w:r>
          </w:p>
          <w:p w14:paraId="39EC8E14" w14:textId="3EA56A5E" w:rsidR="00D30339" w:rsidRDefault="00D30339" w:rsidP="00484EB1">
            <w:pPr>
              <w:jc w:val="both"/>
              <w:rPr>
                <w:kern w:val="2"/>
                <w:szCs w:val="24"/>
              </w:rPr>
            </w:pPr>
            <w:r>
              <w:rPr>
                <w:kern w:val="2"/>
                <w:szCs w:val="24"/>
                <w:lang w:eastAsia="lt-LT"/>
              </w:rPr>
              <w:t xml:space="preserve"> </w:t>
            </w:r>
          </w:p>
        </w:tc>
        <w:tc>
          <w:tcPr>
            <w:tcW w:w="2235" w:type="dxa"/>
          </w:tcPr>
          <w:p w14:paraId="4313764C" w14:textId="77777777" w:rsidR="00D30339" w:rsidRDefault="00D30339" w:rsidP="00484EB1">
            <w:pPr>
              <w:jc w:val="both"/>
              <w:rPr>
                <w:kern w:val="2"/>
                <w:szCs w:val="24"/>
              </w:rPr>
            </w:pPr>
            <w:r>
              <w:rPr>
                <w:kern w:val="2"/>
                <w:szCs w:val="24"/>
              </w:rPr>
              <w:t xml:space="preserve">Didesnis darbuotojų antikorupcinis sąmoningumas. </w:t>
            </w:r>
          </w:p>
        </w:tc>
        <w:tc>
          <w:tcPr>
            <w:tcW w:w="3260" w:type="dxa"/>
          </w:tcPr>
          <w:p w14:paraId="5F0CFE86" w14:textId="77777777" w:rsidR="003C4293" w:rsidRDefault="003C4293" w:rsidP="00484EB1">
            <w:pPr>
              <w:jc w:val="both"/>
              <w:rPr>
                <w:kern w:val="2"/>
                <w:szCs w:val="24"/>
              </w:rPr>
            </w:pPr>
            <w:r>
              <w:rPr>
                <w:kern w:val="2"/>
                <w:szCs w:val="24"/>
              </w:rPr>
              <w:t>Įgyvendinta</w:t>
            </w:r>
          </w:p>
          <w:p w14:paraId="05FB53AB" w14:textId="60DED136" w:rsidR="008F4CC4" w:rsidRDefault="00D30339" w:rsidP="00484EB1">
            <w:pPr>
              <w:jc w:val="both"/>
              <w:rPr>
                <w:kern w:val="2"/>
                <w:szCs w:val="24"/>
              </w:rPr>
            </w:pPr>
            <w:r>
              <w:rPr>
                <w:kern w:val="2"/>
                <w:szCs w:val="24"/>
              </w:rPr>
              <w:t>Įstaigos vadovybės ir darbuotojų suorganizuotų diskusijų skaičius:</w:t>
            </w:r>
            <w:r w:rsidR="008F4CC4">
              <w:rPr>
                <w:kern w:val="2"/>
                <w:szCs w:val="24"/>
              </w:rPr>
              <w:t xml:space="preserve"> 1</w:t>
            </w:r>
          </w:p>
          <w:p w14:paraId="5CAE2410" w14:textId="590562A0" w:rsidR="00D30339" w:rsidRDefault="008F4CC4" w:rsidP="00484EB1">
            <w:pPr>
              <w:jc w:val="both"/>
              <w:rPr>
                <w:kern w:val="2"/>
                <w:szCs w:val="24"/>
              </w:rPr>
            </w:pPr>
            <w:r>
              <w:rPr>
                <w:kern w:val="2"/>
                <w:szCs w:val="24"/>
              </w:rPr>
              <w:t xml:space="preserve">2023 metų spalio 5 d. </w:t>
            </w:r>
          </w:p>
        </w:tc>
      </w:tr>
      <w:tr w:rsidR="00D30339" w14:paraId="0E756B76" w14:textId="77777777" w:rsidTr="003C4293">
        <w:tc>
          <w:tcPr>
            <w:tcW w:w="696" w:type="dxa"/>
          </w:tcPr>
          <w:p w14:paraId="683A9297" w14:textId="77777777" w:rsidR="00D30339" w:rsidRDefault="00D30339" w:rsidP="00484EB1">
            <w:pPr>
              <w:jc w:val="both"/>
              <w:rPr>
                <w:kern w:val="2"/>
                <w:szCs w:val="24"/>
              </w:rPr>
            </w:pPr>
            <w:r>
              <w:rPr>
                <w:kern w:val="2"/>
                <w:szCs w:val="24"/>
              </w:rPr>
              <w:t>1.5.</w:t>
            </w:r>
          </w:p>
        </w:tc>
        <w:tc>
          <w:tcPr>
            <w:tcW w:w="4686" w:type="dxa"/>
          </w:tcPr>
          <w:p w14:paraId="2A16A42B" w14:textId="77777777" w:rsidR="00D30339" w:rsidRPr="003C4293" w:rsidRDefault="00D30339" w:rsidP="00484EB1">
            <w:pPr>
              <w:jc w:val="both"/>
              <w:rPr>
                <w:color w:val="000000" w:themeColor="text1"/>
                <w:kern w:val="2"/>
                <w:szCs w:val="24"/>
              </w:rPr>
            </w:pPr>
            <w:r w:rsidRPr="003C4293">
              <w:rPr>
                <w:color w:val="000000" w:themeColor="text1"/>
                <w:kern w:val="2"/>
                <w:szCs w:val="24"/>
              </w:rPr>
              <w:t xml:space="preserve">Organizuoti </w:t>
            </w:r>
            <w:r w:rsidRPr="003C4293">
              <w:rPr>
                <w:color w:val="000000" w:themeColor="text1"/>
                <w:szCs w:val="24"/>
              </w:rPr>
              <w:t>ASPĮ</w:t>
            </w:r>
            <w:r w:rsidRPr="003C4293">
              <w:rPr>
                <w:color w:val="000000" w:themeColor="text1"/>
                <w:kern w:val="2"/>
                <w:szCs w:val="24"/>
              </w:rPr>
              <w:t xml:space="preserve"> ir pacientams atstovaujančių organizacijų diskusiją apie pagarbos, pasitikėjimo, atsakomybės ir smurtinės kultūros (įskaitant verbalinio, psichologinio ir fizinio smurto) netoleravimo ugdymą tarp medikų ir pacientų.</w:t>
            </w:r>
          </w:p>
        </w:tc>
        <w:tc>
          <w:tcPr>
            <w:tcW w:w="1576" w:type="dxa"/>
          </w:tcPr>
          <w:p w14:paraId="41A4BC05" w14:textId="77777777" w:rsidR="00D30339" w:rsidRPr="003C4293" w:rsidRDefault="00D30339" w:rsidP="00484EB1">
            <w:pPr>
              <w:jc w:val="both"/>
              <w:rPr>
                <w:color w:val="000000" w:themeColor="text1"/>
                <w:kern w:val="2"/>
                <w:szCs w:val="24"/>
              </w:rPr>
            </w:pPr>
            <w:r w:rsidRPr="003C4293">
              <w:rPr>
                <w:color w:val="000000" w:themeColor="text1"/>
                <w:kern w:val="2"/>
                <w:szCs w:val="24"/>
                <w:lang w:eastAsia="lt-LT"/>
              </w:rPr>
              <w:t>ASPĮ (išskyrus GMP)</w:t>
            </w:r>
          </w:p>
        </w:tc>
        <w:tc>
          <w:tcPr>
            <w:tcW w:w="1576" w:type="dxa"/>
          </w:tcPr>
          <w:p w14:paraId="67CDE0B5" w14:textId="77777777" w:rsidR="00D30339" w:rsidRPr="003C4293" w:rsidRDefault="00D30339" w:rsidP="00484EB1">
            <w:pPr>
              <w:ind w:firstLine="62"/>
              <w:jc w:val="both"/>
              <w:rPr>
                <w:color w:val="000000" w:themeColor="text1"/>
                <w:kern w:val="2"/>
                <w:szCs w:val="24"/>
                <w:lang w:eastAsia="lt-LT"/>
              </w:rPr>
            </w:pPr>
          </w:p>
          <w:p w14:paraId="6032783D" w14:textId="77777777" w:rsidR="00D30339" w:rsidRPr="003C4293" w:rsidRDefault="00D30339" w:rsidP="00484EB1">
            <w:pPr>
              <w:jc w:val="both"/>
              <w:rPr>
                <w:color w:val="000000" w:themeColor="text1"/>
                <w:kern w:val="2"/>
                <w:szCs w:val="24"/>
                <w:lang w:eastAsia="lt-LT"/>
              </w:rPr>
            </w:pPr>
            <w:r w:rsidRPr="003C4293">
              <w:rPr>
                <w:color w:val="000000" w:themeColor="text1"/>
                <w:kern w:val="2"/>
                <w:szCs w:val="24"/>
                <w:lang w:eastAsia="lt-LT"/>
              </w:rPr>
              <w:t>2024 m. IV ketv.</w:t>
            </w:r>
          </w:p>
          <w:p w14:paraId="0B3B9900" w14:textId="77777777" w:rsidR="00D30339" w:rsidRPr="003C4293" w:rsidRDefault="00D30339" w:rsidP="00484EB1">
            <w:pPr>
              <w:jc w:val="both"/>
              <w:rPr>
                <w:color w:val="000000" w:themeColor="text1"/>
                <w:kern w:val="2"/>
                <w:szCs w:val="24"/>
              </w:rPr>
            </w:pPr>
            <w:r w:rsidRPr="003C4293">
              <w:rPr>
                <w:color w:val="000000" w:themeColor="text1"/>
                <w:kern w:val="2"/>
                <w:szCs w:val="24"/>
                <w:lang w:eastAsia="lt-LT"/>
              </w:rPr>
              <w:t xml:space="preserve">2025 m. IV ketv.  </w:t>
            </w:r>
          </w:p>
        </w:tc>
        <w:tc>
          <w:tcPr>
            <w:tcW w:w="2235" w:type="dxa"/>
          </w:tcPr>
          <w:p w14:paraId="08694A81" w14:textId="77777777" w:rsidR="00D30339" w:rsidRPr="003C4293" w:rsidRDefault="00D30339" w:rsidP="00484EB1">
            <w:pPr>
              <w:jc w:val="both"/>
              <w:rPr>
                <w:color w:val="000000" w:themeColor="text1"/>
                <w:kern w:val="2"/>
                <w:szCs w:val="24"/>
              </w:rPr>
            </w:pPr>
            <w:r w:rsidRPr="003C4293">
              <w:rPr>
                <w:color w:val="000000" w:themeColor="text1"/>
                <w:kern w:val="2"/>
                <w:szCs w:val="24"/>
              </w:rPr>
              <w:t xml:space="preserve">Atviresnė, skaidresnė ir efektyvesnė  įstaigos veikla ir pagarbos kultūra skatina  didesnį visuomenės pasitikėjimą  sveikatos priežiūros </w:t>
            </w:r>
            <w:r w:rsidRPr="003C4293">
              <w:rPr>
                <w:color w:val="000000" w:themeColor="text1"/>
                <w:kern w:val="2"/>
                <w:szCs w:val="24"/>
              </w:rPr>
              <w:lastRenderedPageBreak/>
              <w:t xml:space="preserve">sistema ir ugdo pagarbą medicinos personalui, o tai mažina siekį už suteiktas asmens sveikatos priežiūros paslaugas neoficialiai susimokėti ar atsidėkoti.   </w:t>
            </w:r>
          </w:p>
        </w:tc>
        <w:tc>
          <w:tcPr>
            <w:tcW w:w="3260" w:type="dxa"/>
          </w:tcPr>
          <w:p w14:paraId="3679228B" w14:textId="2AD821F1" w:rsidR="003C4293" w:rsidRDefault="003C4293" w:rsidP="00484EB1">
            <w:pPr>
              <w:suppressAutoHyphens/>
              <w:jc w:val="both"/>
              <w:rPr>
                <w:color w:val="000000" w:themeColor="text1"/>
                <w:szCs w:val="24"/>
              </w:rPr>
            </w:pPr>
            <w:r>
              <w:rPr>
                <w:color w:val="000000" w:themeColor="text1"/>
                <w:szCs w:val="24"/>
              </w:rPr>
              <w:lastRenderedPageBreak/>
              <w:t>Įgyvendinta iš dalies</w:t>
            </w:r>
          </w:p>
          <w:p w14:paraId="5F525DB2" w14:textId="479EE9B8" w:rsidR="00A37C0D" w:rsidRPr="003C4293" w:rsidRDefault="003C4293" w:rsidP="00484EB1">
            <w:pPr>
              <w:suppressAutoHyphens/>
              <w:jc w:val="both"/>
              <w:rPr>
                <w:color w:val="000000" w:themeColor="text1"/>
                <w:szCs w:val="24"/>
              </w:rPr>
            </w:pPr>
            <w:r w:rsidRPr="003C4293">
              <w:rPr>
                <w:color w:val="000000" w:themeColor="text1"/>
                <w:szCs w:val="24"/>
              </w:rPr>
              <w:t>Organizuoti diskusijas planuojama</w:t>
            </w:r>
            <w:r w:rsidR="00A37C0D" w:rsidRPr="003C4293">
              <w:rPr>
                <w:color w:val="000000" w:themeColor="text1"/>
                <w:szCs w:val="24"/>
              </w:rPr>
              <w:t xml:space="preserve"> 2024 metų I pusmetyje</w:t>
            </w:r>
            <w:r w:rsidRPr="003C4293">
              <w:rPr>
                <w:color w:val="000000" w:themeColor="text1"/>
                <w:szCs w:val="24"/>
              </w:rPr>
              <w:t>.</w:t>
            </w:r>
          </w:p>
          <w:p w14:paraId="40471027" w14:textId="30302915" w:rsidR="00A37C0D" w:rsidRPr="003C4293" w:rsidRDefault="00A37C0D" w:rsidP="00484EB1">
            <w:pPr>
              <w:suppressAutoHyphens/>
              <w:jc w:val="both"/>
              <w:rPr>
                <w:color w:val="000000" w:themeColor="text1"/>
                <w:szCs w:val="24"/>
              </w:rPr>
            </w:pPr>
            <w:r w:rsidRPr="003C4293">
              <w:rPr>
                <w:color w:val="000000" w:themeColor="text1"/>
                <w:szCs w:val="24"/>
              </w:rPr>
              <w:t>2023 metais 9</w:t>
            </w:r>
            <w:r w:rsidR="00467C67">
              <w:rPr>
                <w:color w:val="000000" w:themeColor="text1"/>
                <w:szCs w:val="24"/>
              </w:rPr>
              <w:t>6</w:t>
            </w:r>
            <w:r w:rsidRPr="003C4293">
              <w:rPr>
                <w:color w:val="000000" w:themeColor="text1"/>
                <w:szCs w:val="24"/>
              </w:rPr>
              <w:t xml:space="preserve"> </w:t>
            </w:r>
            <w:r w:rsidR="00F40F58" w:rsidRPr="003C4293">
              <w:rPr>
                <w:color w:val="000000" w:themeColor="text1"/>
                <w:szCs w:val="24"/>
              </w:rPr>
              <w:t>% darbuotojų dalyvavo psichologinio smurto prevencij</w:t>
            </w:r>
            <w:r w:rsidR="00513B4E">
              <w:rPr>
                <w:color w:val="000000" w:themeColor="text1"/>
                <w:szCs w:val="24"/>
              </w:rPr>
              <w:t>os</w:t>
            </w:r>
            <w:r w:rsidR="00F40F58" w:rsidRPr="003C4293">
              <w:rPr>
                <w:color w:val="000000" w:themeColor="text1"/>
                <w:szCs w:val="24"/>
              </w:rPr>
              <w:t xml:space="preserve"> mokymuose. Darbuotojai įgijo žinių dėl </w:t>
            </w:r>
            <w:r w:rsidR="00F40F58" w:rsidRPr="003C4293">
              <w:rPr>
                <w:color w:val="000000" w:themeColor="text1"/>
                <w:szCs w:val="24"/>
              </w:rPr>
              <w:lastRenderedPageBreak/>
              <w:t xml:space="preserve">smurtinės kultūros netoleravimo tiek tarp personalo, tiek santykiuose su pacientais. </w:t>
            </w:r>
          </w:p>
          <w:p w14:paraId="618B4453" w14:textId="77777777" w:rsidR="00A37C0D" w:rsidRPr="003C4293" w:rsidRDefault="00A37C0D" w:rsidP="00484EB1">
            <w:pPr>
              <w:suppressAutoHyphens/>
              <w:jc w:val="both"/>
              <w:rPr>
                <w:color w:val="000000" w:themeColor="text1"/>
                <w:szCs w:val="24"/>
              </w:rPr>
            </w:pPr>
          </w:p>
          <w:p w14:paraId="4A5BDE80" w14:textId="75E15BCA" w:rsidR="00D30339" w:rsidRPr="003C4293" w:rsidRDefault="00D30339" w:rsidP="00484EB1">
            <w:pPr>
              <w:suppressAutoHyphens/>
              <w:jc w:val="both"/>
              <w:rPr>
                <w:color w:val="000000" w:themeColor="text1"/>
                <w:szCs w:val="24"/>
              </w:rPr>
            </w:pPr>
            <w:r w:rsidRPr="003C4293">
              <w:rPr>
                <w:color w:val="000000" w:themeColor="text1"/>
                <w:szCs w:val="24"/>
              </w:rPr>
              <w:t xml:space="preserve">Diskusijų tarp ASPĮ medicinos personalo ir pacientus atstovaujančių organizacijų apie pagarbos, pasitikėjimo ir atsakomybės ugdymą tarp medikų ir pacientų skaičius: ne mažiau nei viena diskusija per kalendorinius metus. </w:t>
            </w:r>
          </w:p>
          <w:p w14:paraId="4173B1B6" w14:textId="77777777" w:rsidR="00D30339" w:rsidRPr="003C4293" w:rsidRDefault="00D30339" w:rsidP="00484EB1">
            <w:pPr>
              <w:jc w:val="both"/>
              <w:rPr>
                <w:color w:val="000000" w:themeColor="text1"/>
                <w:kern w:val="2"/>
                <w:szCs w:val="24"/>
              </w:rPr>
            </w:pPr>
          </w:p>
        </w:tc>
      </w:tr>
      <w:tr w:rsidR="00D30339" w14:paraId="05AE9635" w14:textId="77777777" w:rsidTr="003C4293">
        <w:tc>
          <w:tcPr>
            <w:tcW w:w="696" w:type="dxa"/>
          </w:tcPr>
          <w:p w14:paraId="49A84743" w14:textId="77777777" w:rsidR="00D30339" w:rsidRDefault="00D30339" w:rsidP="00484EB1">
            <w:pPr>
              <w:jc w:val="both"/>
              <w:rPr>
                <w:kern w:val="2"/>
                <w:szCs w:val="24"/>
              </w:rPr>
            </w:pPr>
            <w:r>
              <w:rPr>
                <w:kern w:val="2"/>
                <w:szCs w:val="24"/>
              </w:rPr>
              <w:lastRenderedPageBreak/>
              <w:t>1.6.</w:t>
            </w:r>
          </w:p>
        </w:tc>
        <w:tc>
          <w:tcPr>
            <w:tcW w:w="4686" w:type="dxa"/>
          </w:tcPr>
          <w:p w14:paraId="57C2B46C" w14:textId="77777777" w:rsidR="00D30339" w:rsidRPr="00513B4E" w:rsidRDefault="00D30339" w:rsidP="00484EB1">
            <w:pPr>
              <w:jc w:val="both"/>
              <w:rPr>
                <w:color w:val="000000" w:themeColor="text1"/>
                <w:kern w:val="2"/>
                <w:szCs w:val="24"/>
              </w:rPr>
            </w:pPr>
            <w:r w:rsidRPr="00513B4E">
              <w:rPr>
                <w:rFonts w:eastAsia="Calibri"/>
                <w:color w:val="000000" w:themeColor="text1"/>
                <w:kern w:val="2"/>
                <w:szCs w:val="24"/>
              </w:rPr>
              <w:t>Vykdyti pacientų arba asmenų, kuriems teikiamos viešosios paslaugos ar vykdoma ūkio subjektų priežiūra ir kontrolė, apklausas, siekiant įvertinti pacientų / klientų pasitenkinimo teikiamomis paslaugomis lygį, integruojant klausimus apie korupciją, o apibendrintus apklausų rezultatus viešinti įstaigos interneto svetainėje.</w:t>
            </w:r>
          </w:p>
        </w:tc>
        <w:tc>
          <w:tcPr>
            <w:tcW w:w="1576" w:type="dxa"/>
          </w:tcPr>
          <w:p w14:paraId="63908054" w14:textId="77777777" w:rsidR="00D30339" w:rsidRPr="00513B4E" w:rsidRDefault="00D30339" w:rsidP="00484EB1">
            <w:pPr>
              <w:jc w:val="both"/>
              <w:rPr>
                <w:color w:val="000000" w:themeColor="text1"/>
                <w:kern w:val="2"/>
                <w:szCs w:val="24"/>
              </w:rPr>
            </w:pPr>
            <w:r w:rsidRPr="00513B4E">
              <w:rPr>
                <w:color w:val="000000" w:themeColor="text1"/>
                <w:kern w:val="2"/>
                <w:szCs w:val="24"/>
                <w:lang w:eastAsia="lt-LT"/>
              </w:rPr>
              <w:t>Ministerijai pavaldžios įstaigos, ASPĮ (išskyrus GMP)</w:t>
            </w:r>
          </w:p>
        </w:tc>
        <w:tc>
          <w:tcPr>
            <w:tcW w:w="1576" w:type="dxa"/>
          </w:tcPr>
          <w:p w14:paraId="39980257" w14:textId="77777777" w:rsidR="00D30339" w:rsidRPr="00513B4E" w:rsidRDefault="00D30339" w:rsidP="00484EB1">
            <w:pPr>
              <w:jc w:val="both"/>
              <w:rPr>
                <w:color w:val="000000" w:themeColor="text1"/>
                <w:kern w:val="2"/>
                <w:szCs w:val="24"/>
                <w:lang w:eastAsia="lt-LT"/>
              </w:rPr>
            </w:pPr>
            <w:r w:rsidRPr="00513B4E">
              <w:rPr>
                <w:color w:val="000000" w:themeColor="text1"/>
                <w:kern w:val="2"/>
                <w:szCs w:val="24"/>
                <w:lang w:eastAsia="lt-LT"/>
              </w:rPr>
              <w:t xml:space="preserve">2024 m. I  ketv. už 2023 m., </w:t>
            </w:r>
          </w:p>
          <w:p w14:paraId="377BB915" w14:textId="6AEE749C" w:rsidR="00D30339" w:rsidRPr="00513B4E" w:rsidRDefault="00D30339" w:rsidP="00484EB1">
            <w:pPr>
              <w:jc w:val="both"/>
              <w:rPr>
                <w:color w:val="000000" w:themeColor="text1"/>
                <w:kern w:val="2"/>
                <w:szCs w:val="24"/>
              </w:rPr>
            </w:pPr>
            <w:r w:rsidRPr="00513B4E">
              <w:rPr>
                <w:color w:val="000000" w:themeColor="text1"/>
                <w:kern w:val="2"/>
                <w:szCs w:val="24"/>
                <w:lang w:eastAsia="lt-LT"/>
              </w:rPr>
              <w:t xml:space="preserve"> </w:t>
            </w:r>
          </w:p>
        </w:tc>
        <w:tc>
          <w:tcPr>
            <w:tcW w:w="2235" w:type="dxa"/>
          </w:tcPr>
          <w:p w14:paraId="2078360B" w14:textId="77777777" w:rsidR="00D30339" w:rsidRPr="00513B4E" w:rsidRDefault="00D30339" w:rsidP="00484EB1">
            <w:pPr>
              <w:jc w:val="both"/>
              <w:rPr>
                <w:color w:val="000000" w:themeColor="text1"/>
                <w:kern w:val="2"/>
                <w:szCs w:val="24"/>
              </w:rPr>
            </w:pPr>
            <w:r w:rsidRPr="00513B4E">
              <w:rPr>
                <w:color w:val="000000" w:themeColor="text1"/>
                <w:kern w:val="2"/>
                <w:szCs w:val="24"/>
              </w:rPr>
              <w:t>Tobulinama ASPĮ ir įstaigų veikla, atsižvelgiant į pacientų, klientų, kuriems teikiamos viešosios paslaugos, ar  tikrintų įstaigų ir įmonių patirtį bei siūlymus.</w:t>
            </w:r>
          </w:p>
        </w:tc>
        <w:tc>
          <w:tcPr>
            <w:tcW w:w="3260" w:type="dxa"/>
          </w:tcPr>
          <w:p w14:paraId="006895F6" w14:textId="77777777" w:rsidR="003C4293" w:rsidRPr="00513B4E" w:rsidRDefault="003C4293" w:rsidP="00484EB1">
            <w:pPr>
              <w:suppressAutoHyphens/>
              <w:jc w:val="both"/>
              <w:rPr>
                <w:color w:val="000000" w:themeColor="text1"/>
                <w:szCs w:val="24"/>
              </w:rPr>
            </w:pPr>
            <w:r w:rsidRPr="00513B4E">
              <w:rPr>
                <w:color w:val="000000" w:themeColor="text1"/>
                <w:szCs w:val="24"/>
              </w:rPr>
              <w:t>Įgyvendinta</w:t>
            </w:r>
          </w:p>
          <w:p w14:paraId="3EBE0E8D" w14:textId="1C97A383" w:rsidR="00D30339" w:rsidRPr="00513B4E" w:rsidRDefault="00D30339" w:rsidP="00484EB1">
            <w:pPr>
              <w:suppressAutoHyphens/>
              <w:jc w:val="both"/>
              <w:rPr>
                <w:color w:val="000000" w:themeColor="text1"/>
                <w:szCs w:val="24"/>
              </w:rPr>
            </w:pPr>
            <w:r w:rsidRPr="00513B4E">
              <w:rPr>
                <w:color w:val="000000" w:themeColor="text1"/>
                <w:szCs w:val="24"/>
              </w:rPr>
              <w:t>Atliktų apklausų, kurių apibendrinti rezultatai paskelbti įstaigos interneto svetainėje, skaičius: ne mažiau nei viena apklausa per kalendorinius metus.</w:t>
            </w:r>
          </w:p>
          <w:p w14:paraId="65974FC4" w14:textId="5F4CB68F" w:rsidR="008F4CC4" w:rsidRPr="00513B4E" w:rsidRDefault="008F4CC4" w:rsidP="00484EB1">
            <w:pPr>
              <w:suppressAutoHyphens/>
              <w:jc w:val="both"/>
              <w:rPr>
                <w:color w:val="000000" w:themeColor="text1"/>
                <w:szCs w:val="24"/>
              </w:rPr>
            </w:pPr>
            <w:r w:rsidRPr="00513B4E">
              <w:rPr>
                <w:color w:val="000000" w:themeColor="text1"/>
                <w:szCs w:val="24"/>
              </w:rPr>
              <w:t>Buvo vykdyta viena apklausa, duomenys įkelti į interneto svetainę</w:t>
            </w:r>
            <w:r w:rsidR="00467C67" w:rsidRPr="00513B4E">
              <w:rPr>
                <w:color w:val="000000" w:themeColor="text1"/>
                <w:szCs w:val="24"/>
              </w:rPr>
              <w:t xml:space="preserve"> https://www.rpl.lt/pacientams/</w:t>
            </w:r>
          </w:p>
          <w:p w14:paraId="1C4106CD" w14:textId="77777777" w:rsidR="00D30339" w:rsidRPr="00513B4E" w:rsidRDefault="00D30339" w:rsidP="00484EB1">
            <w:pPr>
              <w:jc w:val="both"/>
              <w:rPr>
                <w:color w:val="000000" w:themeColor="text1"/>
                <w:kern w:val="2"/>
                <w:szCs w:val="24"/>
              </w:rPr>
            </w:pPr>
          </w:p>
        </w:tc>
      </w:tr>
      <w:tr w:rsidR="00D30339" w14:paraId="66E39663" w14:textId="77777777" w:rsidTr="003C4293">
        <w:tc>
          <w:tcPr>
            <w:tcW w:w="696" w:type="dxa"/>
          </w:tcPr>
          <w:p w14:paraId="15C5176B" w14:textId="77777777" w:rsidR="00D30339" w:rsidRDefault="00D30339" w:rsidP="00484EB1">
            <w:pPr>
              <w:jc w:val="both"/>
              <w:rPr>
                <w:kern w:val="2"/>
                <w:szCs w:val="24"/>
              </w:rPr>
            </w:pPr>
            <w:r>
              <w:rPr>
                <w:kern w:val="2"/>
                <w:szCs w:val="24"/>
              </w:rPr>
              <w:t>1.7.</w:t>
            </w:r>
          </w:p>
        </w:tc>
        <w:tc>
          <w:tcPr>
            <w:tcW w:w="4686" w:type="dxa"/>
          </w:tcPr>
          <w:p w14:paraId="45202522" w14:textId="77777777" w:rsidR="00D30339" w:rsidRDefault="00D30339" w:rsidP="00484EB1">
            <w:pPr>
              <w:jc w:val="both"/>
              <w:rPr>
                <w:kern w:val="2"/>
                <w:szCs w:val="24"/>
              </w:rPr>
            </w:pPr>
            <w:r>
              <w:rPr>
                <w:kern w:val="2"/>
                <w:szCs w:val="24"/>
              </w:rPr>
              <w:t>Didinant pacientų antikorupcinį raštingumą, parengti pacientams atmintines, padėsiančias jiems pasiruošti vizitui pas gydytoją, ir jas viešinti įstaigos interneto svetainėje ir įstaigoje viešai matomose vietose bei dalyti apsilankymo įstaigoje metu.</w:t>
            </w:r>
          </w:p>
        </w:tc>
        <w:tc>
          <w:tcPr>
            <w:tcW w:w="1576" w:type="dxa"/>
          </w:tcPr>
          <w:p w14:paraId="7D3D6B34" w14:textId="77777777" w:rsidR="00D30339" w:rsidRDefault="00D30339" w:rsidP="00484EB1">
            <w:pPr>
              <w:jc w:val="both"/>
              <w:rPr>
                <w:kern w:val="2"/>
                <w:szCs w:val="24"/>
                <w:lang w:eastAsia="lt-LT"/>
              </w:rPr>
            </w:pPr>
            <w:r>
              <w:rPr>
                <w:kern w:val="2"/>
                <w:szCs w:val="24"/>
                <w:lang w:eastAsia="lt-LT"/>
              </w:rPr>
              <w:t>ASPĮ</w:t>
            </w:r>
          </w:p>
          <w:p w14:paraId="3846B2A3" w14:textId="77777777" w:rsidR="00D30339" w:rsidRDefault="00D30339" w:rsidP="00484EB1">
            <w:pPr>
              <w:jc w:val="both"/>
              <w:rPr>
                <w:kern w:val="2"/>
                <w:szCs w:val="24"/>
              </w:rPr>
            </w:pPr>
            <w:r>
              <w:rPr>
                <w:kern w:val="2"/>
                <w:szCs w:val="24"/>
                <w:lang w:eastAsia="lt-LT"/>
              </w:rPr>
              <w:t>(išskyrus GMP)</w:t>
            </w:r>
          </w:p>
        </w:tc>
        <w:tc>
          <w:tcPr>
            <w:tcW w:w="1576" w:type="dxa"/>
          </w:tcPr>
          <w:p w14:paraId="0B3FDDBA" w14:textId="19E58531" w:rsidR="00D30339" w:rsidRDefault="00D30339" w:rsidP="00484EB1">
            <w:pPr>
              <w:jc w:val="both"/>
              <w:rPr>
                <w:kern w:val="2"/>
                <w:szCs w:val="24"/>
                <w:lang w:eastAsia="lt-LT"/>
              </w:rPr>
            </w:pPr>
            <w:r>
              <w:rPr>
                <w:kern w:val="2"/>
                <w:szCs w:val="24"/>
                <w:lang w:eastAsia="lt-LT"/>
              </w:rPr>
              <w:t>202</w:t>
            </w:r>
            <w:r w:rsidR="0059545C">
              <w:rPr>
                <w:kern w:val="2"/>
                <w:szCs w:val="24"/>
                <w:lang w:eastAsia="lt-LT"/>
              </w:rPr>
              <w:t>3</w:t>
            </w:r>
            <w:r>
              <w:rPr>
                <w:kern w:val="2"/>
                <w:szCs w:val="24"/>
                <w:lang w:eastAsia="lt-LT"/>
              </w:rPr>
              <w:t xml:space="preserve"> m. IV ketv.</w:t>
            </w:r>
          </w:p>
          <w:p w14:paraId="2C29D920" w14:textId="2D2FB2A7" w:rsidR="00D30339" w:rsidRDefault="00D30339" w:rsidP="00484EB1">
            <w:pPr>
              <w:jc w:val="both"/>
              <w:rPr>
                <w:kern w:val="2"/>
                <w:szCs w:val="24"/>
              </w:rPr>
            </w:pPr>
          </w:p>
        </w:tc>
        <w:tc>
          <w:tcPr>
            <w:tcW w:w="2235" w:type="dxa"/>
          </w:tcPr>
          <w:p w14:paraId="5C7B6F13" w14:textId="77777777" w:rsidR="00D30339" w:rsidRDefault="00D30339" w:rsidP="00484EB1">
            <w:pPr>
              <w:jc w:val="both"/>
              <w:rPr>
                <w:kern w:val="2"/>
                <w:szCs w:val="24"/>
              </w:rPr>
            </w:pPr>
            <w:r>
              <w:rPr>
                <w:kern w:val="2"/>
                <w:szCs w:val="24"/>
              </w:rPr>
              <w:t xml:space="preserve">Kokybiškas pacientų aptarnavimas yra kokybiškai veikiančios įstaigos požymis.  Tinkamas paciento pasiruošimas vizitui pas gydytoją mažins smulkiąją korupciją. </w:t>
            </w:r>
          </w:p>
        </w:tc>
        <w:tc>
          <w:tcPr>
            <w:tcW w:w="3260" w:type="dxa"/>
          </w:tcPr>
          <w:p w14:paraId="15C07375" w14:textId="253D080F" w:rsidR="003C4293" w:rsidRDefault="003C4293" w:rsidP="00484EB1">
            <w:pPr>
              <w:pBdr>
                <w:top w:val="nil"/>
                <w:left w:val="nil"/>
                <w:bottom w:val="nil"/>
                <w:right w:val="nil"/>
                <w:between w:val="nil"/>
              </w:pBdr>
              <w:jc w:val="both"/>
              <w:rPr>
                <w:szCs w:val="24"/>
              </w:rPr>
            </w:pPr>
            <w:r>
              <w:rPr>
                <w:szCs w:val="24"/>
              </w:rPr>
              <w:t>Įgyvendinta iš dalies</w:t>
            </w:r>
          </w:p>
          <w:p w14:paraId="06610C90" w14:textId="7701A915" w:rsidR="00D30339" w:rsidRDefault="00D30339" w:rsidP="00484EB1">
            <w:pPr>
              <w:pBdr>
                <w:top w:val="nil"/>
                <w:left w:val="nil"/>
                <w:bottom w:val="nil"/>
                <w:right w:val="nil"/>
                <w:between w:val="nil"/>
              </w:pBdr>
              <w:jc w:val="both"/>
              <w:rPr>
                <w:szCs w:val="24"/>
              </w:rPr>
            </w:pPr>
            <w:r>
              <w:rPr>
                <w:szCs w:val="24"/>
              </w:rPr>
              <w:t>Parengtos atmintinės pacientams:</w:t>
            </w:r>
          </w:p>
          <w:p w14:paraId="542BAFED" w14:textId="77777777" w:rsidR="00D30339" w:rsidRDefault="00D30339" w:rsidP="00484EB1">
            <w:pPr>
              <w:pBdr>
                <w:top w:val="nil"/>
                <w:left w:val="nil"/>
                <w:bottom w:val="nil"/>
                <w:right w:val="nil"/>
                <w:between w:val="nil"/>
              </w:pBdr>
              <w:jc w:val="both"/>
              <w:rPr>
                <w:szCs w:val="24"/>
              </w:rPr>
            </w:pPr>
            <w:r>
              <w:rPr>
                <w:szCs w:val="24"/>
              </w:rPr>
              <w:t xml:space="preserve">1. viešinamos įstaigos interneto svetainėje ir įstaigoje viešai matomose vietose; </w:t>
            </w:r>
          </w:p>
          <w:p w14:paraId="4F20E901" w14:textId="776C29A5" w:rsidR="00513B4E" w:rsidRDefault="00513B4E" w:rsidP="00484EB1">
            <w:pPr>
              <w:pBdr>
                <w:top w:val="nil"/>
                <w:left w:val="nil"/>
                <w:bottom w:val="nil"/>
                <w:right w:val="nil"/>
                <w:between w:val="nil"/>
              </w:pBdr>
              <w:jc w:val="both"/>
              <w:rPr>
                <w:szCs w:val="24"/>
              </w:rPr>
            </w:pPr>
            <w:r w:rsidRPr="00513B4E">
              <w:rPr>
                <w:szCs w:val="24"/>
              </w:rPr>
              <w:t>https://www.rpl.lt/pacientams/</w:t>
            </w:r>
          </w:p>
          <w:p w14:paraId="2B08F91B" w14:textId="044150E3" w:rsidR="00D30339" w:rsidRDefault="00D30339" w:rsidP="00484EB1">
            <w:pPr>
              <w:pBdr>
                <w:top w:val="nil"/>
                <w:left w:val="nil"/>
                <w:bottom w:val="nil"/>
                <w:right w:val="nil"/>
                <w:between w:val="nil"/>
              </w:pBdr>
              <w:jc w:val="both"/>
              <w:rPr>
                <w:szCs w:val="24"/>
              </w:rPr>
            </w:pPr>
            <w:r>
              <w:rPr>
                <w:szCs w:val="24"/>
              </w:rPr>
              <w:t xml:space="preserve">2. paciento atmintinių parsisiuntimų arba peržiūrų, nuo per kalendoriniais metais </w:t>
            </w:r>
            <w:r>
              <w:rPr>
                <w:szCs w:val="24"/>
              </w:rPr>
              <w:lastRenderedPageBreak/>
              <w:t xml:space="preserve">suteiktų asmens sveikatos priežiūros paslaugų pacientams bendro skaičiaus procentinė dalis: </w:t>
            </w:r>
            <w:r w:rsidR="0059545C">
              <w:rPr>
                <w:szCs w:val="24"/>
              </w:rPr>
              <w:t>0 (į interneto svetainę nebuvo įkelta, nuo 2024 m. viešinamos interneto svetainėje);</w:t>
            </w:r>
          </w:p>
          <w:p w14:paraId="20C5FF65" w14:textId="0EF519DF" w:rsidR="00D30339" w:rsidRDefault="00D30339" w:rsidP="0059545C">
            <w:pPr>
              <w:pBdr>
                <w:top w:val="nil"/>
                <w:left w:val="nil"/>
                <w:bottom w:val="nil"/>
                <w:right w:val="nil"/>
                <w:between w:val="nil"/>
              </w:pBdr>
              <w:jc w:val="both"/>
              <w:rPr>
                <w:kern w:val="2"/>
                <w:szCs w:val="24"/>
              </w:rPr>
            </w:pPr>
            <w:r>
              <w:rPr>
                <w:szCs w:val="24"/>
              </w:rPr>
              <w:t>3. Išdalytų atmintinių nuo per kalendoriniais metais suteiktų asmens sveikatos priežiūros paslaugų pacientams bendro skaičiaus procentinė dalis: 2023 m. – 10 proc</w:t>
            </w:r>
            <w:r w:rsidR="0059545C">
              <w:rPr>
                <w:szCs w:val="24"/>
              </w:rPr>
              <w:t>.</w:t>
            </w:r>
          </w:p>
        </w:tc>
      </w:tr>
      <w:tr w:rsidR="00D30339" w14:paraId="101BE760" w14:textId="77777777" w:rsidTr="003C4293">
        <w:tc>
          <w:tcPr>
            <w:tcW w:w="696" w:type="dxa"/>
          </w:tcPr>
          <w:p w14:paraId="39A3CE5F" w14:textId="77777777" w:rsidR="00D30339" w:rsidRDefault="00D30339" w:rsidP="00484EB1">
            <w:pPr>
              <w:jc w:val="both"/>
              <w:rPr>
                <w:kern w:val="2"/>
                <w:szCs w:val="24"/>
              </w:rPr>
            </w:pPr>
            <w:r>
              <w:rPr>
                <w:kern w:val="2"/>
                <w:szCs w:val="24"/>
              </w:rPr>
              <w:lastRenderedPageBreak/>
              <w:t>1.13.</w:t>
            </w:r>
          </w:p>
        </w:tc>
        <w:tc>
          <w:tcPr>
            <w:tcW w:w="4686" w:type="dxa"/>
          </w:tcPr>
          <w:p w14:paraId="5C30F15F" w14:textId="77777777" w:rsidR="00D30339" w:rsidRDefault="00D30339" w:rsidP="00484EB1">
            <w:pPr>
              <w:tabs>
                <w:tab w:val="center" w:pos="4153"/>
                <w:tab w:val="right" w:pos="8306"/>
              </w:tabs>
              <w:jc w:val="both"/>
              <w:rPr>
                <w:rFonts w:eastAsia="Calibri"/>
                <w:kern w:val="2"/>
                <w:szCs w:val="24"/>
                <w:lang w:eastAsia="lt-LT"/>
              </w:rPr>
            </w:pPr>
            <w:r>
              <w:rPr>
                <w:rFonts w:eastAsia="Calibri"/>
                <w:kern w:val="2"/>
                <w:szCs w:val="24"/>
              </w:rPr>
              <w:t>Skelbti informaciją apie pacientų teises ir pareigas įstaigos interneto svetainėje.</w:t>
            </w:r>
          </w:p>
          <w:p w14:paraId="5CA8A1B3" w14:textId="77777777" w:rsidR="00D30339" w:rsidRDefault="00D30339" w:rsidP="00484EB1">
            <w:pPr>
              <w:jc w:val="both"/>
              <w:rPr>
                <w:kern w:val="2"/>
                <w:szCs w:val="24"/>
              </w:rPr>
            </w:pPr>
          </w:p>
        </w:tc>
        <w:tc>
          <w:tcPr>
            <w:tcW w:w="1576" w:type="dxa"/>
          </w:tcPr>
          <w:p w14:paraId="4C504836" w14:textId="77777777" w:rsidR="00D30339" w:rsidRDefault="00D30339" w:rsidP="00484EB1">
            <w:pPr>
              <w:jc w:val="both"/>
              <w:rPr>
                <w:kern w:val="2"/>
                <w:szCs w:val="24"/>
              </w:rPr>
            </w:pPr>
            <w:r>
              <w:rPr>
                <w:kern w:val="2"/>
                <w:szCs w:val="24"/>
                <w:lang w:eastAsia="lt-LT"/>
              </w:rPr>
              <w:t>Ministerija, ASPĮ, Ministerijai pavaldžios įstaigos</w:t>
            </w:r>
          </w:p>
        </w:tc>
        <w:tc>
          <w:tcPr>
            <w:tcW w:w="1576" w:type="dxa"/>
          </w:tcPr>
          <w:p w14:paraId="3EEF26F2" w14:textId="0A18F5B6" w:rsidR="0059545C" w:rsidRDefault="00D30339" w:rsidP="0059545C">
            <w:pPr>
              <w:jc w:val="both"/>
              <w:rPr>
                <w:kern w:val="2"/>
                <w:szCs w:val="24"/>
              </w:rPr>
            </w:pPr>
            <w:r>
              <w:rPr>
                <w:kern w:val="2"/>
                <w:szCs w:val="24"/>
                <w:lang w:eastAsia="lt-LT"/>
              </w:rPr>
              <w:t xml:space="preserve">2023 m. </w:t>
            </w:r>
          </w:p>
          <w:p w14:paraId="16285F0F" w14:textId="6DC6E8B4" w:rsidR="00D30339" w:rsidRDefault="00D30339" w:rsidP="00484EB1">
            <w:pPr>
              <w:jc w:val="both"/>
              <w:rPr>
                <w:kern w:val="2"/>
                <w:szCs w:val="24"/>
              </w:rPr>
            </w:pPr>
          </w:p>
        </w:tc>
        <w:tc>
          <w:tcPr>
            <w:tcW w:w="2235" w:type="dxa"/>
          </w:tcPr>
          <w:p w14:paraId="25D38776" w14:textId="77777777" w:rsidR="00D30339" w:rsidRDefault="00D30339" w:rsidP="00484EB1">
            <w:pPr>
              <w:jc w:val="both"/>
              <w:rPr>
                <w:kern w:val="2"/>
                <w:szCs w:val="24"/>
              </w:rPr>
            </w:pPr>
            <w:r>
              <w:rPr>
                <w:kern w:val="2"/>
                <w:szCs w:val="24"/>
              </w:rPr>
              <w:t>Pacientų, žinančių savo teises, skaičiaus didėjimas mažina smulkiąją korupciją įstaigoje.</w:t>
            </w:r>
          </w:p>
        </w:tc>
        <w:tc>
          <w:tcPr>
            <w:tcW w:w="3260" w:type="dxa"/>
          </w:tcPr>
          <w:p w14:paraId="46D63D4A" w14:textId="38DF14B6" w:rsidR="00513B4E" w:rsidRDefault="00513B4E" w:rsidP="00484EB1">
            <w:pPr>
              <w:jc w:val="both"/>
              <w:rPr>
                <w:szCs w:val="24"/>
              </w:rPr>
            </w:pPr>
            <w:r>
              <w:rPr>
                <w:szCs w:val="24"/>
              </w:rPr>
              <w:t>Įgyvendinta</w:t>
            </w:r>
          </w:p>
          <w:p w14:paraId="143A95DB" w14:textId="0B86A0DF" w:rsidR="00D30339" w:rsidRDefault="0059545C" w:rsidP="00484EB1">
            <w:pPr>
              <w:jc w:val="both"/>
              <w:rPr>
                <w:rFonts w:eastAsia="Calibri"/>
                <w:szCs w:val="24"/>
              </w:rPr>
            </w:pPr>
            <w:r>
              <w:rPr>
                <w:szCs w:val="24"/>
              </w:rPr>
              <w:t>Į</w:t>
            </w:r>
            <w:r w:rsidR="00D30339">
              <w:rPr>
                <w:szCs w:val="24"/>
              </w:rPr>
              <w:t>staigų  interneto svetainėje skelbiama i</w:t>
            </w:r>
            <w:r w:rsidR="00D30339">
              <w:rPr>
                <w:rFonts w:eastAsia="Calibri"/>
                <w:szCs w:val="24"/>
              </w:rPr>
              <w:t>nformacija apie pacientų teises ir pareigas.</w:t>
            </w:r>
          </w:p>
          <w:p w14:paraId="3F007882" w14:textId="4D94A6D3" w:rsidR="003C4293" w:rsidRDefault="003C4293" w:rsidP="00484EB1">
            <w:pPr>
              <w:jc w:val="both"/>
              <w:rPr>
                <w:kern w:val="2"/>
                <w:szCs w:val="24"/>
              </w:rPr>
            </w:pPr>
            <w:r w:rsidRPr="003C4293">
              <w:rPr>
                <w:kern w:val="2"/>
                <w:szCs w:val="24"/>
              </w:rPr>
              <w:t>https://www.rpl.lt/pacientams/</w:t>
            </w:r>
          </w:p>
        </w:tc>
      </w:tr>
      <w:tr w:rsidR="00D30339" w14:paraId="50F0F781" w14:textId="77777777" w:rsidTr="003C4293">
        <w:tc>
          <w:tcPr>
            <w:tcW w:w="696" w:type="dxa"/>
          </w:tcPr>
          <w:p w14:paraId="198800AE" w14:textId="77777777" w:rsidR="00D30339" w:rsidRDefault="00D30339" w:rsidP="00484EB1">
            <w:pPr>
              <w:jc w:val="both"/>
              <w:rPr>
                <w:kern w:val="2"/>
                <w:szCs w:val="24"/>
              </w:rPr>
            </w:pPr>
            <w:r>
              <w:rPr>
                <w:kern w:val="2"/>
                <w:szCs w:val="24"/>
              </w:rPr>
              <w:t xml:space="preserve">1.14. </w:t>
            </w:r>
          </w:p>
        </w:tc>
        <w:tc>
          <w:tcPr>
            <w:tcW w:w="4686" w:type="dxa"/>
          </w:tcPr>
          <w:p w14:paraId="118ECC89" w14:textId="77777777" w:rsidR="00D30339" w:rsidRDefault="00D30339" w:rsidP="00484EB1">
            <w:pPr>
              <w:jc w:val="both"/>
              <w:rPr>
                <w:kern w:val="2"/>
                <w:szCs w:val="24"/>
              </w:rPr>
            </w:pPr>
            <w:r>
              <w:rPr>
                <w:kern w:val="2"/>
                <w:szCs w:val="24"/>
              </w:rPr>
              <w:t>Vykdyti registraciją ambulatorinėms asmens sveikatos priežiūros paslaugoms gauti per Išankstinę pacientų registracijos informacinę sistemą (toliau – IPR IS) visa apimtimi.</w:t>
            </w:r>
          </w:p>
        </w:tc>
        <w:tc>
          <w:tcPr>
            <w:tcW w:w="1576" w:type="dxa"/>
          </w:tcPr>
          <w:p w14:paraId="2E495586" w14:textId="77777777" w:rsidR="00D30339" w:rsidRDefault="00D30339" w:rsidP="00484EB1">
            <w:pPr>
              <w:jc w:val="both"/>
              <w:rPr>
                <w:kern w:val="2"/>
                <w:szCs w:val="24"/>
              </w:rPr>
            </w:pPr>
            <w:r>
              <w:rPr>
                <w:kern w:val="2"/>
                <w:szCs w:val="24"/>
                <w:lang w:eastAsia="lt-LT"/>
              </w:rPr>
              <w:t>ASPĮ (išskyrus GMP), VLK, Ministerija</w:t>
            </w:r>
          </w:p>
        </w:tc>
        <w:tc>
          <w:tcPr>
            <w:tcW w:w="1576" w:type="dxa"/>
          </w:tcPr>
          <w:p w14:paraId="4E62C088" w14:textId="77777777" w:rsidR="00D30339" w:rsidRDefault="00D30339" w:rsidP="00484EB1">
            <w:pPr>
              <w:jc w:val="both"/>
              <w:rPr>
                <w:kern w:val="2"/>
                <w:szCs w:val="24"/>
                <w:lang w:eastAsia="lt-LT"/>
              </w:rPr>
            </w:pPr>
            <w:r>
              <w:rPr>
                <w:kern w:val="2"/>
                <w:szCs w:val="24"/>
                <w:lang w:eastAsia="lt-LT"/>
              </w:rPr>
              <w:t>2023 m. IV ketv.,</w:t>
            </w:r>
          </w:p>
          <w:p w14:paraId="1AD6F32B" w14:textId="4B445867" w:rsidR="00D30339" w:rsidRDefault="00D30339" w:rsidP="00484EB1">
            <w:pPr>
              <w:jc w:val="both"/>
              <w:rPr>
                <w:kern w:val="2"/>
                <w:szCs w:val="24"/>
              </w:rPr>
            </w:pPr>
          </w:p>
        </w:tc>
        <w:tc>
          <w:tcPr>
            <w:tcW w:w="2235" w:type="dxa"/>
          </w:tcPr>
          <w:p w14:paraId="433B88A5" w14:textId="77777777" w:rsidR="00D30339" w:rsidRDefault="00D30339" w:rsidP="00484EB1">
            <w:pPr>
              <w:jc w:val="both"/>
              <w:rPr>
                <w:kern w:val="2"/>
                <w:szCs w:val="24"/>
              </w:rPr>
            </w:pPr>
            <w:r>
              <w:rPr>
                <w:color w:val="444444"/>
                <w:spacing w:val="2"/>
                <w:kern w:val="2"/>
                <w:szCs w:val="24"/>
                <w:shd w:val="clear" w:color="auto" w:fill="FFFFFF"/>
              </w:rPr>
              <w:t xml:space="preserve">Išankstinės pacientų registracijos (IPR) informacinės sistemos duomenys leis stebėti eilių dinamiką ir identifikuoti problemas, taip pat stebėti taikomų poveikio priemonių efektyvumą ir mažinti esminius korupcijos rizikos veiksnius paslaugų prieinamumo srityje. </w:t>
            </w:r>
          </w:p>
        </w:tc>
        <w:tc>
          <w:tcPr>
            <w:tcW w:w="3260" w:type="dxa"/>
          </w:tcPr>
          <w:p w14:paraId="488EA875" w14:textId="77777777" w:rsidR="003C4293" w:rsidRPr="003C4293" w:rsidRDefault="0059545C" w:rsidP="0059545C">
            <w:pPr>
              <w:jc w:val="both"/>
              <w:rPr>
                <w:bCs/>
                <w:szCs w:val="24"/>
              </w:rPr>
            </w:pPr>
            <w:r w:rsidRPr="003C4293">
              <w:rPr>
                <w:bCs/>
                <w:szCs w:val="24"/>
              </w:rPr>
              <w:t>Neįgyvendi</w:t>
            </w:r>
            <w:r w:rsidR="003C4293" w:rsidRPr="003C4293">
              <w:rPr>
                <w:bCs/>
                <w:szCs w:val="24"/>
              </w:rPr>
              <w:t>nta</w:t>
            </w:r>
          </w:p>
          <w:p w14:paraId="315625B2" w14:textId="1A37FDF4" w:rsidR="00D30339" w:rsidRPr="003C4293" w:rsidRDefault="0059545C" w:rsidP="0059545C">
            <w:pPr>
              <w:jc w:val="both"/>
              <w:rPr>
                <w:b/>
                <w:i/>
                <w:iCs/>
                <w:szCs w:val="24"/>
              </w:rPr>
            </w:pPr>
            <w:r w:rsidRPr="003C4293">
              <w:rPr>
                <w:bCs/>
                <w:szCs w:val="24"/>
              </w:rPr>
              <w:t xml:space="preserve"> </w:t>
            </w:r>
            <w:r w:rsidR="003C4293" w:rsidRPr="003C4293">
              <w:rPr>
                <w:bCs/>
                <w:szCs w:val="24"/>
              </w:rPr>
              <w:t>Į</w:t>
            </w:r>
            <w:r w:rsidRPr="003C4293">
              <w:rPr>
                <w:bCs/>
                <w:szCs w:val="24"/>
              </w:rPr>
              <w:t xml:space="preserve">staigai nėra </w:t>
            </w:r>
            <w:r w:rsidR="003C4293" w:rsidRPr="003C4293">
              <w:rPr>
                <w:bCs/>
                <w:szCs w:val="24"/>
              </w:rPr>
              <w:t>aktualu</w:t>
            </w:r>
            <w:r w:rsidRPr="003C4293">
              <w:rPr>
                <w:bCs/>
                <w:szCs w:val="24"/>
              </w:rPr>
              <w:t>.</w:t>
            </w:r>
          </w:p>
        </w:tc>
      </w:tr>
      <w:tr w:rsidR="00D30339" w14:paraId="3DF867A7" w14:textId="77777777" w:rsidTr="003C4293">
        <w:tc>
          <w:tcPr>
            <w:tcW w:w="14029" w:type="dxa"/>
            <w:gridSpan w:val="6"/>
            <w:shd w:val="clear" w:color="auto" w:fill="FFF2CC" w:themeFill="accent4" w:themeFillTint="33"/>
          </w:tcPr>
          <w:p w14:paraId="7FE706F1" w14:textId="77777777" w:rsidR="00D30339" w:rsidRDefault="00D30339" w:rsidP="00484EB1">
            <w:pPr>
              <w:jc w:val="center"/>
              <w:rPr>
                <w:b/>
                <w:bCs/>
                <w:kern w:val="2"/>
                <w:szCs w:val="24"/>
              </w:rPr>
            </w:pPr>
            <w:r>
              <w:rPr>
                <w:b/>
                <w:bCs/>
                <w:kern w:val="2"/>
                <w:szCs w:val="24"/>
              </w:rPr>
              <w:t>3. UŽDAVINYS</w:t>
            </w:r>
          </w:p>
          <w:p w14:paraId="5D02580A" w14:textId="77777777" w:rsidR="00D30339" w:rsidRDefault="00D30339" w:rsidP="00484EB1">
            <w:pPr>
              <w:jc w:val="center"/>
              <w:rPr>
                <w:kern w:val="2"/>
                <w:szCs w:val="24"/>
              </w:rPr>
            </w:pPr>
            <w:r>
              <w:rPr>
                <w:rFonts w:eastAsia="Calibri"/>
                <w:b/>
                <w:bCs/>
                <w:kern w:val="2"/>
                <w:szCs w:val="24"/>
              </w:rPr>
              <w:lastRenderedPageBreak/>
              <w:t>Tobulinti antikorupcinę aplinką ir valdyti interesų konfliktus</w:t>
            </w:r>
          </w:p>
        </w:tc>
      </w:tr>
      <w:tr w:rsidR="00D30339" w14:paraId="26562449" w14:textId="77777777" w:rsidTr="003C4293">
        <w:tc>
          <w:tcPr>
            <w:tcW w:w="696" w:type="dxa"/>
          </w:tcPr>
          <w:p w14:paraId="7DAD3A58" w14:textId="77777777" w:rsidR="00D30339" w:rsidRDefault="00D30339" w:rsidP="00484EB1">
            <w:pPr>
              <w:jc w:val="both"/>
              <w:rPr>
                <w:kern w:val="2"/>
                <w:szCs w:val="24"/>
              </w:rPr>
            </w:pPr>
            <w:r>
              <w:rPr>
                <w:kern w:val="2"/>
                <w:szCs w:val="24"/>
              </w:rPr>
              <w:lastRenderedPageBreak/>
              <w:t>3.1.</w:t>
            </w:r>
          </w:p>
        </w:tc>
        <w:tc>
          <w:tcPr>
            <w:tcW w:w="4686" w:type="dxa"/>
          </w:tcPr>
          <w:p w14:paraId="79A44983" w14:textId="77777777" w:rsidR="00D30339" w:rsidRPr="007A6B04" w:rsidRDefault="00D30339" w:rsidP="00484EB1">
            <w:pPr>
              <w:jc w:val="both"/>
              <w:rPr>
                <w:color w:val="000000" w:themeColor="text1"/>
                <w:kern w:val="2"/>
                <w:szCs w:val="24"/>
              </w:rPr>
            </w:pPr>
            <w:r w:rsidRPr="007A6B04">
              <w:rPr>
                <w:rFonts w:eastAsia="Calibri"/>
                <w:color w:val="000000" w:themeColor="text1"/>
                <w:kern w:val="2"/>
                <w:szCs w:val="24"/>
              </w:rPr>
              <w:t xml:space="preserve">Kalendoriniams metams pasibaigus apibendrinti darbuotojų etikos taisyklių taikymo </w:t>
            </w:r>
            <w:r w:rsidRPr="007A6B04">
              <w:rPr>
                <w:color w:val="000000" w:themeColor="text1"/>
                <w:kern w:val="2"/>
                <w:szCs w:val="24"/>
              </w:rPr>
              <w:t xml:space="preserve">dėl darbuotojų etikos taisyklių pažeidimo, etikos taisyklių nuostatų laikymosi kontrolės, etikos komisijos posėdžiuose priimtų sprendimų </w:t>
            </w:r>
            <w:r w:rsidRPr="007A6B04">
              <w:rPr>
                <w:rFonts w:eastAsia="Calibri"/>
                <w:color w:val="000000" w:themeColor="text1"/>
                <w:kern w:val="2"/>
                <w:szCs w:val="24"/>
              </w:rPr>
              <w:t>rezultatus</w:t>
            </w:r>
            <w:r w:rsidRPr="007A6B04">
              <w:rPr>
                <w:color w:val="000000" w:themeColor="text1"/>
                <w:kern w:val="2"/>
                <w:szCs w:val="24"/>
              </w:rPr>
              <w:t xml:space="preserve"> ir tai paviešinti įstaigos interneto svetainėje.  </w:t>
            </w:r>
          </w:p>
        </w:tc>
        <w:tc>
          <w:tcPr>
            <w:tcW w:w="1576" w:type="dxa"/>
          </w:tcPr>
          <w:p w14:paraId="2EA5170F" w14:textId="77777777" w:rsidR="00D30339" w:rsidRPr="007A6B04" w:rsidRDefault="00D30339" w:rsidP="00484EB1">
            <w:pPr>
              <w:jc w:val="both"/>
              <w:rPr>
                <w:color w:val="000000" w:themeColor="text1"/>
                <w:kern w:val="2"/>
                <w:szCs w:val="24"/>
              </w:rPr>
            </w:pPr>
            <w:r w:rsidRPr="007A6B04">
              <w:rPr>
                <w:rFonts w:eastAsia="Calibri"/>
                <w:color w:val="000000" w:themeColor="text1"/>
                <w:kern w:val="2"/>
                <w:szCs w:val="24"/>
              </w:rPr>
              <w:t>Ministerija, Ministerijai pavaldžios įstaigos, ASPĮ</w:t>
            </w:r>
          </w:p>
        </w:tc>
        <w:tc>
          <w:tcPr>
            <w:tcW w:w="1576" w:type="dxa"/>
          </w:tcPr>
          <w:p w14:paraId="0E7266A8" w14:textId="041314B9" w:rsidR="00D30339" w:rsidRPr="007A6B04" w:rsidRDefault="00D30339" w:rsidP="00484EB1">
            <w:pPr>
              <w:jc w:val="both"/>
              <w:rPr>
                <w:rFonts w:eastAsia="Calibri"/>
                <w:color w:val="000000" w:themeColor="text1"/>
                <w:kern w:val="2"/>
                <w:szCs w:val="24"/>
              </w:rPr>
            </w:pPr>
            <w:r w:rsidRPr="007A6B04">
              <w:rPr>
                <w:rFonts w:eastAsia="Calibri"/>
                <w:color w:val="000000" w:themeColor="text1"/>
                <w:kern w:val="2"/>
                <w:szCs w:val="24"/>
              </w:rPr>
              <w:t>202</w:t>
            </w:r>
            <w:r w:rsidR="00C05DEB" w:rsidRPr="007A6B04">
              <w:rPr>
                <w:rFonts w:eastAsia="Calibri"/>
                <w:color w:val="000000" w:themeColor="text1"/>
                <w:kern w:val="2"/>
                <w:szCs w:val="24"/>
              </w:rPr>
              <w:t>3</w:t>
            </w:r>
            <w:r w:rsidRPr="007A6B04">
              <w:rPr>
                <w:rFonts w:eastAsia="Calibri"/>
                <w:color w:val="000000" w:themeColor="text1"/>
                <w:kern w:val="2"/>
                <w:szCs w:val="24"/>
              </w:rPr>
              <w:t xml:space="preserve"> m. I ketv. </w:t>
            </w:r>
          </w:p>
          <w:p w14:paraId="55D8E417" w14:textId="6B0EBE9E" w:rsidR="00D30339" w:rsidRPr="007A6B04" w:rsidRDefault="00D30339" w:rsidP="00484EB1">
            <w:pPr>
              <w:jc w:val="both"/>
              <w:rPr>
                <w:color w:val="000000" w:themeColor="text1"/>
                <w:kern w:val="2"/>
                <w:szCs w:val="24"/>
              </w:rPr>
            </w:pPr>
          </w:p>
        </w:tc>
        <w:tc>
          <w:tcPr>
            <w:tcW w:w="2235" w:type="dxa"/>
          </w:tcPr>
          <w:p w14:paraId="7CB334DF" w14:textId="77777777" w:rsidR="00D30339" w:rsidRPr="007A6B04" w:rsidRDefault="00D30339" w:rsidP="00484EB1">
            <w:pPr>
              <w:jc w:val="both"/>
              <w:rPr>
                <w:color w:val="000000" w:themeColor="text1"/>
                <w:kern w:val="2"/>
                <w:szCs w:val="24"/>
              </w:rPr>
            </w:pPr>
            <w:r w:rsidRPr="007A6B04">
              <w:rPr>
                <w:color w:val="000000" w:themeColor="text1"/>
                <w:kern w:val="2"/>
                <w:szCs w:val="24"/>
              </w:rPr>
              <w:t xml:space="preserve">Atviresnė įstaigos veikla didins visuomenės pasitikėjimą sveikatos priežiūros įstaigomis ir pačia sveikatos priežiūros sistema.  </w:t>
            </w:r>
          </w:p>
        </w:tc>
        <w:tc>
          <w:tcPr>
            <w:tcW w:w="3260" w:type="dxa"/>
          </w:tcPr>
          <w:p w14:paraId="30977335" w14:textId="3138EEEF" w:rsidR="00513B4E" w:rsidRPr="007A6B04" w:rsidRDefault="00513B4E" w:rsidP="00484EB1">
            <w:pPr>
              <w:tabs>
                <w:tab w:val="left" w:pos="10206"/>
              </w:tabs>
              <w:jc w:val="both"/>
              <w:rPr>
                <w:rFonts w:eastAsia="Calibri"/>
                <w:color w:val="000000" w:themeColor="text1"/>
                <w:szCs w:val="24"/>
              </w:rPr>
            </w:pPr>
            <w:r w:rsidRPr="007A6B04">
              <w:rPr>
                <w:rFonts w:eastAsia="Calibri"/>
                <w:color w:val="000000" w:themeColor="text1"/>
                <w:szCs w:val="24"/>
              </w:rPr>
              <w:t>Įgyvendinta</w:t>
            </w:r>
          </w:p>
          <w:p w14:paraId="02004C25" w14:textId="612A58A4" w:rsidR="00D30339" w:rsidRPr="007A6B04" w:rsidRDefault="00D30339" w:rsidP="00484EB1">
            <w:pPr>
              <w:tabs>
                <w:tab w:val="left" w:pos="10206"/>
              </w:tabs>
              <w:jc w:val="both"/>
              <w:rPr>
                <w:rFonts w:eastAsia="Calibri"/>
                <w:color w:val="000000" w:themeColor="text1"/>
                <w:szCs w:val="24"/>
              </w:rPr>
            </w:pPr>
            <w:r w:rsidRPr="007A6B04">
              <w:rPr>
                <w:rFonts w:eastAsia="Calibri"/>
                <w:color w:val="000000" w:themeColor="text1"/>
                <w:szCs w:val="24"/>
              </w:rPr>
              <w:t xml:space="preserve">Iki einamųjų metų I ketvirčio pabaigos įstaigos interneto svetainėje paviešinta nuasmeninta įstaigoje veikiančios etikos komisijos praėjusių kalendorinių metų darbo ataskaita. </w:t>
            </w:r>
          </w:p>
          <w:p w14:paraId="198868F1" w14:textId="6CA3A90C" w:rsidR="00C05DEB" w:rsidRPr="007A6B04" w:rsidRDefault="00C05DEB" w:rsidP="00484EB1">
            <w:pPr>
              <w:tabs>
                <w:tab w:val="left" w:pos="10206"/>
              </w:tabs>
              <w:jc w:val="both"/>
              <w:rPr>
                <w:rFonts w:eastAsia="Calibri"/>
                <w:color w:val="000000" w:themeColor="text1"/>
                <w:szCs w:val="24"/>
              </w:rPr>
            </w:pPr>
            <w:r w:rsidRPr="007A6B04">
              <w:rPr>
                <w:rFonts w:eastAsia="Calibri"/>
                <w:color w:val="000000" w:themeColor="text1"/>
                <w:szCs w:val="24"/>
              </w:rPr>
              <w:t>Už 2023 metus interneto svetainėje ataskaita paviešinta.</w:t>
            </w:r>
            <w:r w:rsidR="007A6B04" w:rsidRPr="007A6B04">
              <w:rPr>
                <w:color w:val="000000" w:themeColor="text1"/>
              </w:rPr>
              <w:t xml:space="preserve"> </w:t>
            </w:r>
            <w:r w:rsidR="007A6B04" w:rsidRPr="007A6B04">
              <w:rPr>
                <w:rFonts w:eastAsia="Calibri"/>
                <w:color w:val="000000" w:themeColor="text1"/>
                <w:szCs w:val="24"/>
              </w:rPr>
              <w:t>https://www.rpl.lt/naujienos/medicinos-etikos-komisijos-2023-m-veiklos-ataskaita/</w:t>
            </w:r>
          </w:p>
          <w:p w14:paraId="6075E81A" w14:textId="77777777" w:rsidR="00D30339" w:rsidRPr="007A6B04" w:rsidRDefault="00D30339" w:rsidP="00484EB1">
            <w:pPr>
              <w:jc w:val="both"/>
              <w:rPr>
                <w:color w:val="000000" w:themeColor="text1"/>
                <w:kern w:val="2"/>
                <w:szCs w:val="24"/>
              </w:rPr>
            </w:pPr>
          </w:p>
        </w:tc>
      </w:tr>
      <w:tr w:rsidR="00D30339" w14:paraId="4CCA9903" w14:textId="77777777" w:rsidTr="003C4293">
        <w:tc>
          <w:tcPr>
            <w:tcW w:w="696" w:type="dxa"/>
          </w:tcPr>
          <w:p w14:paraId="51BAD225" w14:textId="77777777" w:rsidR="00D30339" w:rsidRDefault="00D30339" w:rsidP="00484EB1">
            <w:pPr>
              <w:jc w:val="both"/>
              <w:rPr>
                <w:kern w:val="2"/>
                <w:szCs w:val="24"/>
              </w:rPr>
            </w:pPr>
            <w:r>
              <w:rPr>
                <w:kern w:val="2"/>
                <w:szCs w:val="24"/>
              </w:rPr>
              <w:t>3.2.</w:t>
            </w:r>
          </w:p>
        </w:tc>
        <w:tc>
          <w:tcPr>
            <w:tcW w:w="4686" w:type="dxa"/>
          </w:tcPr>
          <w:p w14:paraId="071CB62D" w14:textId="77777777" w:rsidR="00D30339" w:rsidRDefault="00D30339" w:rsidP="00484EB1">
            <w:pPr>
              <w:jc w:val="both"/>
              <w:rPr>
                <w:kern w:val="2"/>
                <w:szCs w:val="24"/>
              </w:rPr>
            </w:pPr>
            <w:r>
              <w:rPr>
                <w:kern w:val="2"/>
                <w:szCs w:val="24"/>
              </w:rPr>
              <w:t>Siekiant šalinti teisinio reguliavimo trūkumus, stiprinti darbuotojų antikorupcinį sąmoningumą, nustatyti papildomas kontrolės priemones valdant interesų konfliktus, įstaigose u</w:t>
            </w:r>
            <w:r>
              <w:rPr>
                <w:rFonts w:eastAsia="Calibri"/>
                <w:kern w:val="2"/>
                <w:szCs w:val="24"/>
              </w:rPr>
              <w:t>žtikrinti L</w:t>
            </w:r>
            <w:r>
              <w:rPr>
                <w:color w:val="000000"/>
                <w:kern w:val="2"/>
                <w:szCs w:val="24"/>
                <w:lang w:eastAsia="lt-LT"/>
              </w:rPr>
              <w:t>ietuvos Respublikos viešųjų ir privačių interesų derinimo įstatymo (toliau – Įstatymas) laikymosi kontrolę ir priežiūrą, vadovaujantis Įstatymo ir Vyriausiosios tarnybinės etikos komisijos (toliau – VTEK) r</w:t>
            </w:r>
            <w:r>
              <w:rPr>
                <w:color w:val="000000"/>
                <w:kern w:val="2"/>
                <w:szCs w:val="24"/>
              </w:rPr>
              <w:t>ekomendacijų dėl Lietuvos Respublikos viešųjų ir privačių interesų derinimo įstatymo laikymosi kontrolės ir priežiūros, patvirtintų 2021 m. lapkričio 24 d. VTEK sprendimu Nr.  KS-332 „Dėl rekomendacijų dėl Lietuvos Respublikos viešųjų ir privačių interesų derinimo įstatymo laikymosi kontrolės ir priežiūros patvirtinimo“, (toliau – Rekomendacijos) nuostatomis, apie atliktus veiksmus, informuojant įstaigos vadovą.</w:t>
            </w:r>
          </w:p>
        </w:tc>
        <w:tc>
          <w:tcPr>
            <w:tcW w:w="1576" w:type="dxa"/>
          </w:tcPr>
          <w:p w14:paraId="7385A2ED" w14:textId="77777777" w:rsidR="00D30339" w:rsidRDefault="00D30339" w:rsidP="00484EB1">
            <w:pPr>
              <w:jc w:val="both"/>
              <w:rPr>
                <w:kern w:val="2"/>
                <w:szCs w:val="24"/>
              </w:rPr>
            </w:pPr>
            <w:r>
              <w:rPr>
                <w:rFonts w:eastAsia="Calibri"/>
                <w:kern w:val="2"/>
                <w:szCs w:val="24"/>
              </w:rPr>
              <w:t>Ministerija, Ministerijai pavaldžios įstaigos, ASPĮ</w:t>
            </w:r>
          </w:p>
        </w:tc>
        <w:tc>
          <w:tcPr>
            <w:tcW w:w="1576" w:type="dxa"/>
          </w:tcPr>
          <w:p w14:paraId="68C86258" w14:textId="01A35B86" w:rsidR="00C05DEB" w:rsidRDefault="00D30339" w:rsidP="00C05DEB">
            <w:pPr>
              <w:ind w:firstLine="62"/>
              <w:jc w:val="both"/>
              <w:rPr>
                <w:kern w:val="2"/>
                <w:szCs w:val="24"/>
              </w:rPr>
            </w:pPr>
            <w:r>
              <w:rPr>
                <w:kern w:val="2"/>
                <w:szCs w:val="24"/>
                <w:lang w:eastAsia="lt-LT"/>
              </w:rPr>
              <w:t xml:space="preserve">2023 m. IV </w:t>
            </w:r>
          </w:p>
          <w:p w14:paraId="2815A64D" w14:textId="711DEF3F" w:rsidR="00D30339" w:rsidRDefault="00D30339" w:rsidP="00484EB1">
            <w:pPr>
              <w:jc w:val="both"/>
              <w:rPr>
                <w:kern w:val="2"/>
                <w:szCs w:val="24"/>
              </w:rPr>
            </w:pPr>
          </w:p>
        </w:tc>
        <w:tc>
          <w:tcPr>
            <w:tcW w:w="2235" w:type="dxa"/>
          </w:tcPr>
          <w:p w14:paraId="61998FF1" w14:textId="77777777" w:rsidR="00D30339" w:rsidRDefault="00D30339" w:rsidP="00484EB1">
            <w:pPr>
              <w:jc w:val="both"/>
              <w:rPr>
                <w:kern w:val="2"/>
                <w:szCs w:val="24"/>
              </w:rPr>
            </w:pPr>
            <w:r>
              <w:rPr>
                <w:color w:val="000000"/>
                <w:kern w:val="2"/>
                <w:szCs w:val="24"/>
              </w:rPr>
              <w:t>Sudarytos sąlygos atskleisti deklaruojančių asmenų privačius interesus, užtikrinti, kad priimant sprendimus pirmenybė būtų teikiama viešiesiems interesams, ir užkirsti kelią kilti interesų konfliktams bei plisti korupcijai.</w:t>
            </w:r>
          </w:p>
        </w:tc>
        <w:tc>
          <w:tcPr>
            <w:tcW w:w="3260" w:type="dxa"/>
          </w:tcPr>
          <w:p w14:paraId="7556A135" w14:textId="2E1EE2A3" w:rsidR="006D643D" w:rsidRDefault="006D643D" w:rsidP="00484EB1">
            <w:pPr>
              <w:jc w:val="both"/>
              <w:rPr>
                <w:rFonts w:eastAsia="Calibri"/>
                <w:szCs w:val="24"/>
              </w:rPr>
            </w:pPr>
            <w:r>
              <w:rPr>
                <w:rFonts w:eastAsia="Calibri"/>
                <w:szCs w:val="24"/>
              </w:rPr>
              <w:t>Įgyvendinta</w:t>
            </w:r>
          </w:p>
          <w:p w14:paraId="5B3404B0" w14:textId="2DDF94A7" w:rsidR="00D30339" w:rsidRDefault="00D30339" w:rsidP="00484EB1">
            <w:pPr>
              <w:jc w:val="both"/>
              <w:rPr>
                <w:color w:val="000000"/>
                <w:szCs w:val="24"/>
                <w:lang w:eastAsia="lt-LT"/>
              </w:rPr>
            </w:pPr>
            <w:r>
              <w:rPr>
                <w:rFonts w:eastAsia="Calibri"/>
                <w:szCs w:val="24"/>
              </w:rPr>
              <w:t xml:space="preserve">Pagal poreikį atnaujinti ir įstaigos vadovo įsakymu patvirtinti įstaigos vidiniai teisės aktai, reglamentuojantys viešųjų ir privačių interesų kontrolę, o  įstaigos vadovui pateiktų raštiškų ataskaitų skaičius per kalendorinius metus </w:t>
            </w:r>
            <w:r>
              <w:rPr>
                <w:color w:val="000000"/>
                <w:kern w:val="2"/>
                <w:szCs w:val="24"/>
                <w:lang w:eastAsia="lt-LT"/>
              </w:rPr>
              <w:t>–</w:t>
            </w:r>
            <w:r>
              <w:rPr>
                <w:rFonts w:eastAsia="Calibri"/>
                <w:szCs w:val="24"/>
              </w:rPr>
              <w:t xml:space="preserve">  nemažiau kaip dvi.  </w:t>
            </w:r>
          </w:p>
          <w:p w14:paraId="3B0BFB30" w14:textId="77777777" w:rsidR="00D30339" w:rsidRDefault="00D30339" w:rsidP="00484EB1">
            <w:pPr>
              <w:jc w:val="both"/>
              <w:rPr>
                <w:color w:val="FF0000"/>
                <w:kern w:val="2"/>
                <w:szCs w:val="24"/>
              </w:rPr>
            </w:pPr>
          </w:p>
          <w:p w14:paraId="75A4C29B" w14:textId="0CD6D992" w:rsidR="006D643D" w:rsidRDefault="006D643D" w:rsidP="00484EB1">
            <w:pPr>
              <w:jc w:val="both"/>
              <w:rPr>
                <w:kern w:val="2"/>
                <w:szCs w:val="24"/>
              </w:rPr>
            </w:pPr>
            <w:r w:rsidRPr="006D643D">
              <w:rPr>
                <w:color w:val="000000" w:themeColor="text1"/>
                <w:kern w:val="2"/>
                <w:szCs w:val="24"/>
              </w:rPr>
              <w:t>2023 metais nebuvo fiksuota interesų konfliktų</w:t>
            </w:r>
            <w:r>
              <w:rPr>
                <w:color w:val="000000" w:themeColor="text1"/>
                <w:kern w:val="2"/>
                <w:szCs w:val="24"/>
              </w:rPr>
              <w:t xml:space="preserve"> ar korupcijos apraiškų</w:t>
            </w:r>
          </w:p>
        </w:tc>
      </w:tr>
      <w:tr w:rsidR="00D30339" w14:paraId="0B396AD4" w14:textId="77777777" w:rsidTr="003C4293">
        <w:tc>
          <w:tcPr>
            <w:tcW w:w="696" w:type="dxa"/>
          </w:tcPr>
          <w:p w14:paraId="34E56A63" w14:textId="77777777" w:rsidR="00D30339" w:rsidRDefault="00D30339" w:rsidP="00484EB1">
            <w:pPr>
              <w:jc w:val="both"/>
              <w:rPr>
                <w:kern w:val="2"/>
                <w:szCs w:val="24"/>
              </w:rPr>
            </w:pPr>
            <w:r>
              <w:rPr>
                <w:kern w:val="2"/>
                <w:szCs w:val="24"/>
              </w:rPr>
              <w:lastRenderedPageBreak/>
              <w:t>3.7.</w:t>
            </w:r>
          </w:p>
        </w:tc>
        <w:tc>
          <w:tcPr>
            <w:tcW w:w="4686" w:type="dxa"/>
          </w:tcPr>
          <w:p w14:paraId="602F37DF" w14:textId="77777777" w:rsidR="00D30339" w:rsidRDefault="00D30339" w:rsidP="00484EB1">
            <w:pPr>
              <w:jc w:val="both"/>
              <w:rPr>
                <w:color w:val="000000"/>
                <w:spacing w:val="3"/>
                <w:kern w:val="2"/>
                <w:szCs w:val="24"/>
                <w:shd w:val="clear" w:color="auto" w:fill="FFFFFF"/>
              </w:rPr>
            </w:pPr>
            <w:r>
              <w:rPr>
                <w:kern w:val="2"/>
                <w:szCs w:val="24"/>
              </w:rPr>
              <w:t>Periodiškai organizuoti mokymus darbuotojams,</w:t>
            </w:r>
            <w:r>
              <w:rPr>
                <w:rFonts w:eastAsia="Calibri"/>
                <w:kern w:val="2"/>
                <w:szCs w:val="24"/>
              </w:rPr>
              <w:t xml:space="preserve"> padedant formuoti korupcijai atsparią aplinką ir </w:t>
            </w:r>
            <w:r>
              <w:rPr>
                <w:kern w:val="2"/>
                <w:szCs w:val="24"/>
              </w:rPr>
              <w:t>siekiant stiprinti darbuotojų antikorupcines kompetencijas. Mokymai turi apimti ne tik teorinių dalykų (teisės aktų) aptarimą, bet ir praktinių pavyzdžių pateikimą, pvz., teismo sprendimų, žiniasklaidoje paviešintų korupcijos atvejų aptarimą ir kt. Taip pat turi būti pateikiami aiškūs pavyzdžiai, kokiais veiksmais ir kokiose srityse gali pasireikšti korupcija įstaigoje. Aiškiai darbuotojus informuoti apie veiksmų planą, susidūrus su galimai korupcinio pobūdžio veika darbo vietoje ar už jos ribų, kai tokia veika yra susijusi su darbuotojo užimamomis pareigomis ar jo vykdomomis funkcijomis (t. y. kaip reaguoti, kam konkrečiai pranešti, kaip pranešti ir kitais aktualiais klausimais).</w:t>
            </w:r>
          </w:p>
        </w:tc>
        <w:tc>
          <w:tcPr>
            <w:tcW w:w="1576" w:type="dxa"/>
          </w:tcPr>
          <w:p w14:paraId="0E7F5309" w14:textId="77777777" w:rsidR="00D30339" w:rsidRDefault="00D30339" w:rsidP="00484EB1">
            <w:pPr>
              <w:jc w:val="both"/>
              <w:rPr>
                <w:rFonts w:eastAsia="Calibri"/>
                <w:szCs w:val="24"/>
                <w:lang w:eastAsia="lt-LT"/>
              </w:rPr>
            </w:pPr>
            <w:r>
              <w:rPr>
                <w:rFonts w:eastAsia="Calibri"/>
                <w:szCs w:val="24"/>
                <w:lang w:eastAsia="lt-LT"/>
              </w:rPr>
              <w:t xml:space="preserve">Ministerija, Ministerijai pavaldžios įstaigos, ASPĮ </w:t>
            </w:r>
          </w:p>
          <w:p w14:paraId="45A13EC2" w14:textId="77777777" w:rsidR="00D30339" w:rsidRDefault="00D30339" w:rsidP="00484EB1">
            <w:pPr>
              <w:jc w:val="both"/>
              <w:rPr>
                <w:rFonts w:eastAsia="Calibri"/>
                <w:kern w:val="2"/>
                <w:szCs w:val="24"/>
              </w:rPr>
            </w:pPr>
          </w:p>
        </w:tc>
        <w:tc>
          <w:tcPr>
            <w:tcW w:w="1576" w:type="dxa"/>
          </w:tcPr>
          <w:p w14:paraId="21FF8424" w14:textId="0368989F" w:rsidR="00D30339" w:rsidRDefault="00D30339" w:rsidP="00BB1890">
            <w:pPr>
              <w:jc w:val="both"/>
              <w:rPr>
                <w:rFonts w:eastAsia="Calibri"/>
                <w:kern w:val="2"/>
                <w:szCs w:val="24"/>
              </w:rPr>
            </w:pPr>
            <w:r>
              <w:rPr>
                <w:kern w:val="2"/>
                <w:szCs w:val="24"/>
                <w:lang w:eastAsia="lt-LT"/>
              </w:rPr>
              <w:t xml:space="preserve">2023 m. </w:t>
            </w:r>
          </w:p>
        </w:tc>
        <w:tc>
          <w:tcPr>
            <w:tcW w:w="2235" w:type="dxa"/>
          </w:tcPr>
          <w:p w14:paraId="627D11DF" w14:textId="77777777" w:rsidR="00D30339" w:rsidRDefault="00D30339" w:rsidP="00484EB1">
            <w:pPr>
              <w:jc w:val="both"/>
              <w:rPr>
                <w:kern w:val="2"/>
                <w:szCs w:val="24"/>
              </w:rPr>
            </w:pPr>
            <w:r>
              <w:rPr>
                <w:kern w:val="2"/>
                <w:szCs w:val="24"/>
              </w:rPr>
              <w:t xml:space="preserve">Didesnis darbuotojų sąmoningumas korupcijos prevencijos klausimais. </w:t>
            </w:r>
          </w:p>
        </w:tc>
        <w:tc>
          <w:tcPr>
            <w:tcW w:w="3260" w:type="dxa"/>
          </w:tcPr>
          <w:p w14:paraId="0BCDE049" w14:textId="77777777" w:rsidR="008F2C2E" w:rsidRDefault="008F2C2E" w:rsidP="00484EB1">
            <w:pPr>
              <w:suppressAutoHyphens/>
              <w:jc w:val="both"/>
              <w:rPr>
                <w:rFonts w:eastAsia="Calibri"/>
                <w:szCs w:val="24"/>
              </w:rPr>
            </w:pPr>
            <w:r>
              <w:rPr>
                <w:rFonts w:eastAsia="Calibri"/>
                <w:szCs w:val="24"/>
              </w:rPr>
              <w:t>Įgyvendinta</w:t>
            </w:r>
          </w:p>
          <w:p w14:paraId="73238C13" w14:textId="7D7BA74B" w:rsidR="00D30339" w:rsidRDefault="00D30339" w:rsidP="00484EB1">
            <w:pPr>
              <w:suppressAutoHyphens/>
              <w:jc w:val="both"/>
              <w:rPr>
                <w:rFonts w:eastAsia="Calibri"/>
                <w:szCs w:val="24"/>
              </w:rPr>
            </w:pPr>
            <w:r>
              <w:rPr>
                <w:rFonts w:eastAsia="Calibri"/>
                <w:szCs w:val="24"/>
              </w:rPr>
              <w:t xml:space="preserve">Didesnis darbuotojų sąmoningumas korupcijos prevencijos klausimais: </w:t>
            </w:r>
          </w:p>
          <w:p w14:paraId="35C19C9B" w14:textId="5E5B3A74" w:rsidR="00D30339" w:rsidRDefault="00D30339" w:rsidP="00484EB1">
            <w:pPr>
              <w:jc w:val="both"/>
              <w:rPr>
                <w:rFonts w:eastAsia="SimSun"/>
                <w:szCs w:val="24"/>
                <w:lang w:eastAsia="zh-CN" w:bidi="hi-IN"/>
              </w:rPr>
            </w:pPr>
            <w:r>
              <w:rPr>
                <w:rFonts w:eastAsia="Calibri"/>
                <w:szCs w:val="24"/>
              </w:rPr>
              <w:t>mokymų</w:t>
            </w:r>
            <w:r>
              <w:rPr>
                <w:rFonts w:eastAsia="SimSun"/>
                <w:szCs w:val="24"/>
                <w:lang w:eastAsia="zh-CN" w:bidi="hi-IN"/>
              </w:rPr>
              <w:t xml:space="preserve"> korupcijos prevencijos klausimais</w:t>
            </w:r>
            <w:r>
              <w:rPr>
                <w:rFonts w:eastAsia="Calibri"/>
                <w:szCs w:val="24"/>
              </w:rPr>
              <w:t>, kuriuose dalyvavo dar</w:t>
            </w:r>
            <w:r>
              <w:rPr>
                <w:rFonts w:eastAsia="SimSun"/>
                <w:szCs w:val="24"/>
                <w:lang w:eastAsia="zh-CN" w:bidi="hi-IN"/>
              </w:rPr>
              <w:t xml:space="preserve">buotojai, atsakingi už korupcijos prevenciją, skaičius: 2023 m. –2 vnt., ir </w:t>
            </w:r>
          </w:p>
          <w:p w14:paraId="5FA1A8C5" w14:textId="5A1C8130" w:rsidR="00D30339" w:rsidRDefault="00D30339" w:rsidP="00484EB1">
            <w:pPr>
              <w:suppressAutoHyphens/>
              <w:ind w:right="-80"/>
              <w:jc w:val="both"/>
              <w:rPr>
                <w:szCs w:val="24"/>
              </w:rPr>
            </w:pPr>
            <w:r>
              <w:rPr>
                <w:rFonts w:eastAsia="Calibri"/>
                <w:szCs w:val="24"/>
              </w:rPr>
              <w:t xml:space="preserve">mokymus (bent 2 skirtingomis antikorupcijos temomis) išklausiusių darbuotojų dalis procentais: 2023 m. </w:t>
            </w:r>
            <w:r>
              <w:rPr>
                <w:rFonts w:eastAsia="SimSun"/>
                <w:szCs w:val="24"/>
                <w:lang w:eastAsia="zh-CN" w:bidi="hi-IN"/>
              </w:rPr>
              <w:t>–</w:t>
            </w:r>
            <w:r w:rsidR="00DA1D19">
              <w:rPr>
                <w:rFonts w:eastAsia="SimSun"/>
                <w:szCs w:val="24"/>
                <w:lang w:eastAsia="zh-CN" w:bidi="hi-IN"/>
              </w:rPr>
              <w:t xml:space="preserve"> </w:t>
            </w:r>
            <w:r>
              <w:rPr>
                <w:rFonts w:eastAsia="Calibri"/>
                <w:szCs w:val="24"/>
              </w:rPr>
              <w:t>1</w:t>
            </w:r>
            <w:r w:rsidR="00DA1D19">
              <w:rPr>
                <w:rFonts w:eastAsia="Calibri"/>
                <w:szCs w:val="24"/>
              </w:rPr>
              <w:t>2</w:t>
            </w:r>
            <w:r>
              <w:rPr>
                <w:rFonts w:eastAsia="Calibri"/>
                <w:szCs w:val="24"/>
              </w:rPr>
              <w:t xml:space="preserve"> proc</w:t>
            </w:r>
            <w:r w:rsidR="00DA1D19">
              <w:rPr>
                <w:rFonts w:eastAsia="Calibri"/>
                <w:szCs w:val="24"/>
              </w:rPr>
              <w:t xml:space="preserve">. </w:t>
            </w:r>
            <w:r>
              <w:rPr>
                <w:szCs w:val="24"/>
              </w:rPr>
              <w:t>darbuotojų skaičius</w:t>
            </w:r>
            <w:r w:rsidR="00DA1D19">
              <w:rPr>
                <w:szCs w:val="24"/>
              </w:rPr>
              <w:t xml:space="preserve"> (vietiniai mokymai)</w:t>
            </w:r>
            <w:r>
              <w:rPr>
                <w:szCs w:val="24"/>
              </w:rPr>
              <w:t>: 2023</w:t>
            </w:r>
            <w:r>
              <w:rPr>
                <w:rFonts w:eastAsia="Calibri"/>
                <w:szCs w:val="24"/>
              </w:rPr>
              <w:t xml:space="preserve"> m. </w:t>
            </w:r>
            <w:r>
              <w:rPr>
                <w:szCs w:val="24"/>
              </w:rPr>
              <w:t>nuolat rengiama ir atnaujinama dalijamoji medžiaga korupcijos prevencijos klausimais ir elektroniniu paštu išplatinta 5</w:t>
            </w:r>
            <w:r w:rsidR="00516BBE">
              <w:rPr>
                <w:szCs w:val="24"/>
              </w:rPr>
              <w:t>4</w:t>
            </w:r>
            <w:r>
              <w:rPr>
                <w:szCs w:val="24"/>
              </w:rPr>
              <w:t xml:space="preserve"> proc. darbuotojų.</w:t>
            </w:r>
          </w:p>
          <w:p w14:paraId="57D46BD3" w14:textId="77777777" w:rsidR="00D30339" w:rsidRDefault="00D30339" w:rsidP="00484EB1">
            <w:pPr>
              <w:suppressAutoHyphens/>
              <w:ind w:right="-80"/>
              <w:jc w:val="both"/>
              <w:rPr>
                <w:color w:val="000000"/>
                <w:spacing w:val="3"/>
                <w:kern w:val="2"/>
                <w:szCs w:val="24"/>
                <w:shd w:val="clear" w:color="auto" w:fill="FFFFFF"/>
              </w:rPr>
            </w:pPr>
          </w:p>
        </w:tc>
      </w:tr>
      <w:tr w:rsidR="00D30339" w14:paraId="32693560" w14:textId="77777777" w:rsidTr="003C4293">
        <w:trPr>
          <w:trHeight w:val="723"/>
        </w:trPr>
        <w:tc>
          <w:tcPr>
            <w:tcW w:w="14029" w:type="dxa"/>
            <w:gridSpan w:val="6"/>
            <w:shd w:val="clear" w:color="auto" w:fill="FFF2CC" w:themeFill="accent4" w:themeFillTint="33"/>
          </w:tcPr>
          <w:p w14:paraId="34C3ED15" w14:textId="77777777" w:rsidR="00D30339" w:rsidRDefault="00D30339" w:rsidP="00484EB1">
            <w:pPr>
              <w:jc w:val="center"/>
              <w:rPr>
                <w:b/>
                <w:bCs/>
                <w:kern w:val="2"/>
                <w:szCs w:val="24"/>
              </w:rPr>
            </w:pPr>
            <w:r>
              <w:rPr>
                <w:b/>
                <w:bCs/>
                <w:kern w:val="2"/>
                <w:szCs w:val="24"/>
              </w:rPr>
              <w:t>4. UŽDAVINYS</w:t>
            </w:r>
          </w:p>
          <w:p w14:paraId="5B6AFC98" w14:textId="77777777" w:rsidR="00D30339" w:rsidRDefault="00D30339" w:rsidP="00484EB1">
            <w:pPr>
              <w:jc w:val="center"/>
              <w:rPr>
                <w:szCs w:val="24"/>
                <w:lang w:eastAsia="lt-LT"/>
              </w:rPr>
            </w:pPr>
            <w:r>
              <w:rPr>
                <w:rFonts w:eastAsia="Calibri"/>
                <w:b/>
                <w:bCs/>
                <w:kern w:val="2"/>
                <w:szCs w:val="24"/>
              </w:rPr>
              <w:t>Gerinti administracinių ir viešųjų paslaugų kokybę, didinti sprendimų ir procedūrų skaidrumą</w:t>
            </w:r>
          </w:p>
        </w:tc>
      </w:tr>
      <w:tr w:rsidR="00D30339" w14:paraId="41B76BD9" w14:textId="77777777" w:rsidTr="003C4293">
        <w:trPr>
          <w:trHeight w:val="4247"/>
        </w:trPr>
        <w:tc>
          <w:tcPr>
            <w:tcW w:w="696" w:type="dxa"/>
          </w:tcPr>
          <w:p w14:paraId="09317BC5" w14:textId="77777777" w:rsidR="00D30339" w:rsidRDefault="00D30339" w:rsidP="00484EB1">
            <w:pPr>
              <w:jc w:val="both"/>
              <w:rPr>
                <w:kern w:val="2"/>
                <w:szCs w:val="24"/>
              </w:rPr>
            </w:pPr>
            <w:r>
              <w:rPr>
                <w:kern w:val="2"/>
                <w:szCs w:val="24"/>
              </w:rPr>
              <w:lastRenderedPageBreak/>
              <w:t>4.1.</w:t>
            </w:r>
          </w:p>
        </w:tc>
        <w:tc>
          <w:tcPr>
            <w:tcW w:w="4686" w:type="dxa"/>
          </w:tcPr>
          <w:p w14:paraId="4A65EA84" w14:textId="77777777" w:rsidR="00D30339" w:rsidRDefault="00D30339" w:rsidP="00484EB1">
            <w:pPr>
              <w:jc w:val="both"/>
              <w:rPr>
                <w:kern w:val="2"/>
                <w:szCs w:val="24"/>
              </w:rPr>
            </w:pPr>
            <w:r>
              <w:rPr>
                <w:color w:val="000000"/>
                <w:kern w:val="2"/>
                <w:szCs w:val="24"/>
              </w:rPr>
              <w:t xml:space="preserve">Viešosioms ASPĮ, sudariusioms sutartis su TLK dėl paslaugų teikimo ir jų apmokėjimo PSDF biudžeto lėšomis, pildyti informaciją apie pacientams suteiktas mokamas paslaugas statistinėse formose Nr. 066/a-LK „Stacionare gydomo asmens statistinė kortelė“ ir 025/a-LK „Asmens ambulatorinio gydymo statistinė kortelė“, o VLK </w:t>
            </w:r>
            <w:r>
              <w:rPr>
                <w:bCs/>
                <w:kern w:val="2"/>
                <w:szCs w:val="24"/>
              </w:rPr>
              <w:t>v</w:t>
            </w:r>
            <w:r>
              <w:rPr>
                <w:color w:val="000000"/>
                <w:kern w:val="2"/>
                <w:szCs w:val="24"/>
                <w:shd w:val="clear" w:color="auto" w:fill="FFFFFF"/>
              </w:rPr>
              <w:t>ykdyti duomenų apie pacientams suteiktas mokamas paslaugas, pildomų formose Nr. 066/a-LK „Stacionare gydomo asmens statistinė kortelė“ ir 025/a-LK „Asmens ambulatorinio gydymo statistinė kortelė“ bei finansinėse veiklos ataskaitose nurodomų gautų pinigų sumas, už pacientams suteiktas mokamas paslaugas, stebėseną.</w:t>
            </w:r>
          </w:p>
        </w:tc>
        <w:tc>
          <w:tcPr>
            <w:tcW w:w="1576" w:type="dxa"/>
          </w:tcPr>
          <w:p w14:paraId="42E29B66" w14:textId="77777777" w:rsidR="00D30339" w:rsidRDefault="00D30339" w:rsidP="00484EB1">
            <w:pPr>
              <w:jc w:val="both"/>
              <w:rPr>
                <w:rFonts w:eastAsia="Calibri"/>
                <w:color w:val="000000"/>
                <w:szCs w:val="24"/>
                <w:lang w:eastAsia="lt-LT"/>
              </w:rPr>
            </w:pPr>
            <w:r>
              <w:rPr>
                <w:rFonts w:eastAsia="Calibri"/>
                <w:color w:val="000000"/>
                <w:szCs w:val="24"/>
                <w:lang w:eastAsia="lt-LT"/>
              </w:rPr>
              <w:t>ASPĮ (išskyrus GMP), VLK</w:t>
            </w:r>
          </w:p>
          <w:p w14:paraId="0A7082E8" w14:textId="77777777" w:rsidR="00D30339" w:rsidRDefault="00D30339" w:rsidP="00484EB1">
            <w:pPr>
              <w:jc w:val="both"/>
              <w:rPr>
                <w:kern w:val="2"/>
                <w:szCs w:val="24"/>
              </w:rPr>
            </w:pPr>
          </w:p>
        </w:tc>
        <w:tc>
          <w:tcPr>
            <w:tcW w:w="1576" w:type="dxa"/>
          </w:tcPr>
          <w:p w14:paraId="195AB282" w14:textId="77777777" w:rsidR="00D30339" w:rsidRDefault="00D30339" w:rsidP="00484EB1">
            <w:pPr>
              <w:jc w:val="both"/>
              <w:rPr>
                <w:rFonts w:eastAsia="Calibri"/>
                <w:kern w:val="2"/>
                <w:szCs w:val="24"/>
              </w:rPr>
            </w:pPr>
            <w:r>
              <w:rPr>
                <w:rFonts w:eastAsia="Calibri"/>
                <w:kern w:val="2"/>
                <w:szCs w:val="24"/>
              </w:rPr>
              <w:t xml:space="preserve">2023 IV ketv. (už 2022 m. ); </w:t>
            </w:r>
          </w:p>
          <w:p w14:paraId="477EEFDB" w14:textId="77777777" w:rsidR="00D30339" w:rsidRDefault="00D30339" w:rsidP="00484EB1">
            <w:pPr>
              <w:jc w:val="both"/>
              <w:rPr>
                <w:rFonts w:eastAsia="Calibri"/>
                <w:kern w:val="2"/>
                <w:szCs w:val="24"/>
              </w:rPr>
            </w:pPr>
            <w:r>
              <w:rPr>
                <w:rFonts w:eastAsia="Calibri"/>
                <w:kern w:val="2"/>
                <w:szCs w:val="24"/>
              </w:rPr>
              <w:t xml:space="preserve">2024 IV ketv. </w:t>
            </w:r>
          </w:p>
          <w:p w14:paraId="6BC47B19" w14:textId="77777777" w:rsidR="00D30339" w:rsidRDefault="00D30339" w:rsidP="00484EB1">
            <w:pPr>
              <w:jc w:val="both"/>
              <w:rPr>
                <w:color w:val="000000"/>
                <w:szCs w:val="24"/>
                <w:lang w:eastAsia="lt-LT"/>
              </w:rPr>
            </w:pPr>
            <w:r>
              <w:rPr>
                <w:color w:val="000000"/>
                <w:szCs w:val="24"/>
                <w:lang w:eastAsia="lt-LT"/>
              </w:rPr>
              <w:t>(už 2023 m.); 2025 IV ketv. (už 2024 m. I pusm.)</w:t>
            </w:r>
          </w:p>
          <w:p w14:paraId="6BB3666A" w14:textId="77777777" w:rsidR="00D30339" w:rsidRDefault="00D30339" w:rsidP="00484EB1">
            <w:pPr>
              <w:rPr>
                <w:kern w:val="2"/>
                <w:szCs w:val="24"/>
              </w:rPr>
            </w:pPr>
          </w:p>
        </w:tc>
        <w:tc>
          <w:tcPr>
            <w:tcW w:w="2235" w:type="dxa"/>
          </w:tcPr>
          <w:p w14:paraId="5C6CE5EB" w14:textId="77777777" w:rsidR="00D30339" w:rsidRDefault="00D30339" w:rsidP="00484EB1">
            <w:pPr>
              <w:jc w:val="both"/>
              <w:rPr>
                <w:kern w:val="2"/>
                <w:szCs w:val="24"/>
              </w:rPr>
            </w:pPr>
            <w:r>
              <w:rPr>
                <w:color w:val="000000"/>
                <w:szCs w:val="24"/>
                <w:lang w:eastAsia="lt-LT"/>
              </w:rPr>
              <w:t xml:space="preserve">2025 m. viešųjų ASPĮ į „Sveidrą“ įvestų duomenų sumų (Eur), už kurias pacientams buvo suteikta mokamų paslaugų, vidurkis – ne mažiau nei  85 proc. analogiškų sumų, nurodytų viešųjų ASPĮ finansinėse veiklos ataskaitose, vidurkio. </w:t>
            </w:r>
          </w:p>
        </w:tc>
        <w:tc>
          <w:tcPr>
            <w:tcW w:w="3260" w:type="dxa"/>
          </w:tcPr>
          <w:p w14:paraId="76187808" w14:textId="00500C3E" w:rsidR="00516BBE" w:rsidRPr="00516BBE" w:rsidRDefault="00516BBE" w:rsidP="00484EB1">
            <w:pPr>
              <w:jc w:val="both"/>
              <w:rPr>
                <w:color w:val="000000" w:themeColor="text1"/>
                <w:szCs w:val="24"/>
                <w:lang w:eastAsia="lt-LT"/>
              </w:rPr>
            </w:pPr>
            <w:r w:rsidRPr="00516BBE">
              <w:rPr>
                <w:color w:val="000000" w:themeColor="text1"/>
                <w:szCs w:val="24"/>
                <w:lang w:eastAsia="lt-LT"/>
              </w:rPr>
              <w:t>Neįgyvendinta, nes įstaiga mokamų asmens sveikatos priežiūros paslaugų pacientams neteikia</w:t>
            </w:r>
          </w:p>
          <w:p w14:paraId="59976594" w14:textId="77777777" w:rsidR="00516BBE" w:rsidRPr="00516BBE" w:rsidRDefault="00516BBE" w:rsidP="00484EB1">
            <w:pPr>
              <w:jc w:val="both"/>
              <w:rPr>
                <w:color w:val="000000" w:themeColor="text1"/>
                <w:szCs w:val="24"/>
                <w:lang w:eastAsia="lt-LT"/>
              </w:rPr>
            </w:pPr>
          </w:p>
          <w:p w14:paraId="58BD5A7C" w14:textId="23C1B708" w:rsidR="00D30339" w:rsidRPr="00516BBE" w:rsidRDefault="00D30339" w:rsidP="00484EB1">
            <w:pPr>
              <w:jc w:val="both"/>
              <w:rPr>
                <w:rFonts w:eastAsia="Calibri"/>
                <w:color w:val="000000" w:themeColor="text1"/>
                <w:szCs w:val="24"/>
              </w:rPr>
            </w:pPr>
            <w:r w:rsidRPr="00516BBE">
              <w:rPr>
                <w:color w:val="000000" w:themeColor="text1"/>
                <w:szCs w:val="24"/>
                <w:lang w:eastAsia="lt-LT"/>
              </w:rPr>
              <w:t xml:space="preserve">Viešųjų ASPĮ, sudariusių sutartis su teritorine ligonių kasa (toliau – TLK) dėl paslaugų teikimo ir jų apmokėjimo PSDF biudžeto lėšomis, informacijos pildymas statistinėse formose apie pacientams suteiktas mokamas paslaugas ir šių duomenų stebėsena. VLK atliktas </w:t>
            </w:r>
            <w:r w:rsidRPr="00516BBE">
              <w:rPr>
                <w:rFonts w:eastAsia="Calibri"/>
                <w:color w:val="000000" w:themeColor="text1"/>
                <w:szCs w:val="24"/>
              </w:rPr>
              <w:t>2022, 2023 metų ir 2024 m. I pusmečio duomenų vertinimas ir pateiktas įstaigos vadovui ar jo įgaliotam asmeniui.</w:t>
            </w:r>
          </w:p>
          <w:p w14:paraId="73453962" w14:textId="77777777" w:rsidR="00D30339" w:rsidRDefault="00D30339" w:rsidP="00484EB1">
            <w:pPr>
              <w:jc w:val="both"/>
              <w:rPr>
                <w:kern w:val="2"/>
                <w:szCs w:val="24"/>
              </w:rPr>
            </w:pPr>
          </w:p>
        </w:tc>
      </w:tr>
      <w:tr w:rsidR="00D30339" w14:paraId="0A91A863" w14:textId="77777777" w:rsidTr="003C4293">
        <w:tc>
          <w:tcPr>
            <w:tcW w:w="696" w:type="dxa"/>
          </w:tcPr>
          <w:p w14:paraId="34B1386D" w14:textId="77777777" w:rsidR="00D30339" w:rsidRDefault="00D30339" w:rsidP="00484EB1">
            <w:pPr>
              <w:jc w:val="both"/>
              <w:rPr>
                <w:kern w:val="2"/>
                <w:szCs w:val="24"/>
              </w:rPr>
            </w:pPr>
            <w:r>
              <w:rPr>
                <w:kern w:val="2"/>
                <w:szCs w:val="24"/>
              </w:rPr>
              <w:t>4.2.</w:t>
            </w:r>
          </w:p>
        </w:tc>
        <w:tc>
          <w:tcPr>
            <w:tcW w:w="4686" w:type="dxa"/>
          </w:tcPr>
          <w:p w14:paraId="0DCE8A36" w14:textId="77777777" w:rsidR="00D30339" w:rsidRDefault="00D30339" w:rsidP="00484EB1">
            <w:pPr>
              <w:jc w:val="both"/>
              <w:rPr>
                <w:kern w:val="2"/>
                <w:szCs w:val="24"/>
              </w:rPr>
            </w:pPr>
            <w:r>
              <w:rPr>
                <w:rFonts w:eastAsia="Calibri"/>
                <w:color w:val="000000"/>
                <w:kern w:val="2"/>
                <w:szCs w:val="24"/>
              </w:rPr>
              <w:t>Taikyti įstaigos paramos gavimo ir teikimo apskaitos ir viešinimo sistemą pagal Ministerijos nustatytą tvarką, patvirtintą sveikatos apsaugos ministro 2022 m. liepos 25 d. įsakymu Nr. V-1270 „</w:t>
            </w:r>
            <w:r>
              <w:rPr>
                <w:color w:val="000000"/>
                <w:kern w:val="2"/>
                <w:szCs w:val="24"/>
              </w:rPr>
              <w:t xml:space="preserve">Dėl </w:t>
            </w:r>
            <w:r>
              <w:rPr>
                <w:bCs/>
                <w:kern w:val="2"/>
                <w:szCs w:val="24"/>
                <w:lang w:eastAsia="lt-LT"/>
              </w:rPr>
              <w:t xml:space="preserve">rekomendacijų dėl </w:t>
            </w:r>
            <w:r>
              <w:rPr>
                <w:bCs/>
                <w:kern w:val="16"/>
                <w:szCs w:val="24"/>
              </w:rPr>
              <w:t xml:space="preserve">asmens </w:t>
            </w:r>
            <w:r>
              <w:rPr>
                <w:bCs/>
                <w:color w:val="000000"/>
                <w:kern w:val="2"/>
                <w:szCs w:val="24"/>
              </w:rPr>
              <w:t xml:space="preserve">sveikatos priežiūros įstaigų </w:t>
            </w:r>
            <w:r>
              <w:rPr>
                <w:bCs/>
                <w:kern w:val="2"/>
                <w:szCs w:val="24"/>
                <w:lang w:eastAsia="lt-LT"/>
              </w:rPr>
              <w:t>paramos gavimo ir teikimo apskaitos ir viešinimo sistemos taikymo“.</w:t>
            </w:r>
          </w:p>
        </w:tc>
        <w:tc>
          <w:tcPr>
            <w:tcW w:w="1576" w:type="dxa"/>
          </w:tcPr>
          <w:p w14:paraId="47990093" w14:textId="77777777" w:rsidR="00D30339" w:rsidRDefault="00D30339" w:rsidP="00484EB1">
            <w:pPr>
              <w:jc w:val="both"/>
              <w:rPr>
                <w:rFonts w:eastAsia="Calibri"/>
                <w:szCs w:val="24"/>
              </w:rPr>
            </w:pPr>
            <w:r>
              <w:rPr>
                <w:rFonts w:eastAsia="Calibri"/>
                <w:szCs w:val="24"/>
              </w:rPr>
              <w:t>ASPĮ</w:t>
            </w:r>
          </w:p>
          <w:p w14:paraId="53B7E1C4" w14:textId="77777777" w:rsidR="00D30339" w:rsidRDefault="00D30339" w:rsidP="00484EB1">
            <w:pPr>
              <w:jc w:val="both"/>
              <w:rPr>
                <w:kern w:val="2"/>
                <w:szCs w:val="24"/>
              </w:rPr>
            </w:pPr>
          </w:p>
        </w:tc>
        <w:tc>
          <w:tcPr>
            <w:tcW w:w="1576" w:type="dxa"/>
          </w:tcPr>
          <w:p w14:paraId="505CF84A" w14:textId="77777777" w:rsidR="00D30339" w:rsidRDefault="00D30339" w:rsidP="00484EB1">
            <w:pPr>
              <w:jc w:val="both"/>
              <w:rPr>
                <w:rFonts w:eastAsia="Calibri"/>
                <w:kern w:val="2"/>
                <w:szCs w:val="24"/>
              </w:rPr>
            </w:pPr>
            <w:r>
              <w:rPr>
                <w:rFonts w:eastAsia="Calibri"/>
                <w:kern w:val="2"/>
                <w:szCs w:val="24"/>
              </w:rPr>
              <w:t>2023 m. IV ketv. (už 2021 m., 2022 m., 2023 m. III ketv.);</w:t>
            </w:r>
          </w:p>
          <w:p w14:paraId="19AE11CA" w14:textId="77777777" w:rsidR="00D30339" w:rsidRDefault="00D30339" w:rsidP="00484EB1">
            <w:pPr>
              <w:jc w:val="both"/>
              <w:rPr>
                <w:kern w:val="2"/>
                <w:szCs w:val="24"/>
              </w:rPr>
            </w:pPr>
            <w:r>
              <w:rPr>
                <w:rFonts w:eastAsia="Calibri"/>
                <w:kern w:val="2"/>
                <w:szCs w:val="24"/>
              </w:rPr>
              <w:t xml:space="preserve">2024 m. IV ketv. (už 2022 m., 2023 m., 2024 m. m. III ketv.); 2025 m. IV ketv. (už 2023 m., 2024 m., 2025 m. III ketv.)   </w:t>
            </w:r>
          </w:p>
        </w:tc>
        <w:tc>
          <w:tcPr>
            <w:tcW w:w="2235" w:type="dxa"/>
          </w:tcPr>
          <w:p w14:paraId="45ED433B" w14:textId="77777777" w:rsidR="00D30339" w:rsidRDefault="00D30339" w:rsidP="00484EB1">
            <w:pPr>
              <w:jc w:val="both"/>
              <w:rPr>
                <w:kern w:val="2"/>
                <w:szCs w:val="24"/>
              </w:rPr>
            </w:pPr>
            <w:r>
              <w:rPr>
                <w:kern w:val="2"/>
                <w:szCs w:val="24"/>
              </w:rPr>
              <w:t xml:space="preserve">ASPĮ išsamiai atskleidžiama visa informacija, susijusi su gaunama ir teikiama parama, ir skaidresnis šios veiklos vykdymas.   </w:t>
            </w:r>
          </w:p>
        </w:tc>
        <w:tc>
          <w:tcPr>
            <w:tcW w:w="3260" w:type="dxa"/>
          </w:tcPr>
          <w:p w14:paraId="029016E0" w14:textId="67A2942D" w:rsidR="00516BBE" w:rsidRDefault="00516BBE" w:rsidP="00484EB1">
            <w:pPr>
              <w:jc w:val="both"/>
              <w:rPr>
                <w:rFonts w:eastAsia="Calibri"/>
                <w:color w:val="000000"/>
                <w:szCs w:val="24"/>
              </w:rPr>
            </w:pPr>
            <w:r>
              <w:rPr>
                <w:rFonts w:eastAsia="Calibri"/>
                <w:color w:val="000000"/>
                <w:szCs w:val="24"/>
              </w:rPr>
              <w:t>Įgyvendinta</w:t>
            </w:r>
          </w:p>
          <w:p w14:paraId="24E330E1" w14:textId="53CE790C" w:rsidR="00516BBE" w:rsidRDefault="00516BBE" w:rsidP="00484EB1">
            <w:pPr>
              <w:jc w:val="both"/>
              <w:rPr>
                <w:rFonts w:eastAsia="Calibri"/>
                <w:color w:val="000000"/>
                <w:szCs w:val="24"/>
              </w:rPr>
            </w:pPr>
            <w:r w:rsidRPr="00516BBE">
              <w:rPr>
                <w:rFonts w:eastAsia="Calibri"/>
                <w:color w:val="000000"/>
                <w:szCs w:val="24"/>
              </w:rPr>
              <w:t>https://www.rpl.lt/parama/</w:t>
            </w:r>
          </w:p>
          <w:p w14:paraId="3A3907E6" w14:textId="6CCA386A" w:rsidR="00D30339" w:rsidRDefault="00D30339" w:rsidP="00484EB1">
            <w:pPr>
              <w:jc w:val="both"/>
              <w:rPr>
                <w:rFonts w:eastAsia="Calibri"/>
                <w:color w:val="000000"/>
                <w:szCs w:val="24"/>
              </w:rPr>
            </w:pPr>
            <w:r>
              <w:rPr>
                <w:rFonts w:eastAsia="Calibri"/>
                <w:color w:val="000000"/>
                <w:szCs w:val="24"/>
              </w:rPr>
              <w:t xml:space="preserve">Taikoma įstaigos paramos gavimo ir teikimo apskaitos ir viešinimo sistema, kurios nustatytos formos viešinamos įstaigos interneto svetainėje ir </w:t>
            </w:r>
            <w:r>
              <w:rPr>
                <w:szCs w:val="24"/>
              </w:rPr>
              <w:t xml:space="preserve">atliekama nurodytose užpildytose formose pateiktos informacijos analizė, o išvada bei siūlymai ne rečiau kaip kartą per pusmetį pateikti įstaigos vadovui ar jo įgaliotam asmeniui dėl sistemos tobulinimo, korupcijos </w:t>
            </w:r>
            <w:r>
              <w:rPr>
                <w:szCs w:val="24"/>
              </w:rPr>
              <w:lastRenderedPageBreak/>
              <w:t>prevencijos ir veiklos skaidrumo didinimo.</w:t>
            </w:r>
          </w:p>
          <w:p w14:paraId="38F0D7C0" w14:textId="77777777" w:rsidR="00D30339" w:rsidRDefault="00D30339" w:rsidP="00484EB1">
            <w:pPr>
              <w:jc w:val="both"/>
              <w:rPr>
                <w:kern w:val="2"/>
                <w:szCs w:val="24"/>
              </w:rPr>
            </w:pPr>
          </w:p>
        </w:tc>
      </w:tr>
      <w:tr w:rsidR="00D30339" w14:paraId="7C67A013" w14:textId="77777777" w:rsidTr="003C4293">
        <w:tc>
          <w:tcPr>
            <w:tcW w:w="696" w:type="dxa"/>
          </w:tcPr>
          <w:p w14:paraId="10F583F5" w14:textId="77777777" w:rsidR="00D30339" w:rsidRDefault="00D30339" w:rsidP="00484EB1">
            <w:pPr>
              <w:jc w:val="both"/>
              <w:rPr>
                <w:kern w:val="2"/>
                <w:szCs w:val="24"/>
              </w:rPr>
            </w:pPr>
            <w:r>
              <w:rPr>
                <w:kern w:val="2"/>
                <w:szCs w:val="24"/>
              </w:rPr>
              <w:lastRenderedPageBreak/>
              <w:t>4.3.</w:t>
            </w:r>
          </w:p>
        </w:tc>
        <w:tc>
          <w:tcPr>
            <w:tcW w:w="4686" w:type="dxa"/>
          </w:tcPr>
          <w:p w14:paraId="35D40501" w14:textId="77777777" w:rsidR="00D30339" w:rsidRDefault="00D30339" w:rsidP="00484EB1">
            <w:pPr>
              <w:jc w:val="both"/>
              <w:rPr>
                <w:kern w:val="2"/>
                <w:szCs w:val="24"/>
              </w:rPr>
            </w:pPr>
            <w:r>
              <w:rPr>
                <w:kern w:val="2"/>
                <w:szCs w:val="24"/>
              </w:rPr>
              <w:t>Užtikrinti Lietuvos Respublikos sveikatos apsaugos ministro 2008 m. birželio 28 d. įsakymo Nr. V-363 „Dėl Siuntimų asmens sveikatos priežiūros paslaugoms gauti išdavimo, įforminimo ir atsakymų pateikimo tvarkos aprašo patvirtinimo“ 14 punkto</w:t>
            </w:r>
            <w:r>
              <w:rPr>
                <w:color w:val="FF0000"/>
                <w:kern w:val="2"/>
                <w:szCs w:val="24"/>
              </w:rPr>
              <w:t xml:space="preserve"> </w:t>
            </w:r>
            <w:r>
              <w:rPr>
                <w:kern w:val="2"/>
                <w:szCs w:val="24"/>
              </w:rPr>
              <w:t xml:space="preserve">nuostatos, kad siunčiantis specialistas pacientui rekomenduotų bent 3 gydymo įstaigas, kuriose teikiamos atitinkamos asmens sveikatos priežiūros paslaugos, laikymąsi, taip sudarant sąlygas greičiau gauti jam reikalingas paslaugas.   </w:t>
            </w:r>
          </w:p>
        </w:tc>
        <w:tc>
          <w:tcPr>
            <w:tcW w:w="1576" w:type="dxa"/>
          </w:tcPr>
          <w:p w14:paraId="21D0B747" w14:textId="77777777" w:rsidR="00D30339" w:rsidRDefault="00D30339" w:rsidP="00484EB1">
            <w:pPr>
              <w:jc w:val="both"/>
              <w:rPr>
                <w:kern w:val="2"/>
                <w:szCs w:val="24"/>
              </w:rPr>
            </w:pPr>
            <w:r>
              <w:rPr>
                <w:rFonts w:eastAsia="Calibri"/>
                <w:kern w:val="2"/>
                <w:szCs w:val="24"/>
                <w:lang w:eastAsia="lt-LT"/>
              </w:rPr>
              <w:t>ASPĮ (išskyrus GMP)</w:t>
            </w:r>
          </w:p>
        </w:tc>
        <w:tc>
          <w:tcPr>
            <w:tcW w:w="1576" w:type="dxa"/>
          </w:tcPr>
          <w:p w14:paraId="5F13F64F" w14:textId="77777777" w:rsidR="00D30339" w:rsidRDefault="00D30339" w:rsidP="00484EB1">
            <w:pPr>
              <w:jc w:val="both"/>
              <w:rPr>
                <w:rFonts w:eastAsia="Calibri"/>
                <w:kern w:val="2"/>
                <w:szCs w:val="24"/>
              </w:rPr>
            </w:pPr>
          </w:p>
          <w:p w14:paraId="1BDD1489" w14:textId="77777777" w:rsidR="00D30339" w:rsidRDefault="00D30339" w:rsidP="00484EB1">
            <w:pPr>
              <w:jc w:val="both"/>
              <w:rPr>
                <w:kern w:val="2"/>
                <w:szCs w:val="24"/>
                <w:lang w:eastAsia="lt-LT"/>
              </w:rPr>
            </w:pPr>
            <w:r>
              <w:rPr>
                <w:kern w:val="2"/>
                <w:szCs w:val="24"/>
                <w:lang w:eastAsia="lt-LT"/>
              </w:rPr>
              <w:t>2024 m. IV ketv.,</w:t>
            </w:r>
          </w:p>
          <w:p w14:paraId="0B698B76" w14:textId="77777777" w:rsidR="00D30339" w:rsidRDefault="00D30339" w:rsidP="00484EB1">
            <w:pPr>
              <w:jc w:val="both"/>
              <w:rPr>
                <w:kern w:val="2"/>
                <w:szCs w:val="24"/>
              </w:rPr>
            </w:pPr>
            <w:r>
              <w:rPr>
                <w:kern w:val="2"/>
                <w:szCs w:val="24"/>
                <w:lang w:eastAsia="lt-LT"/>
              </w:rPr>
              <w:t>2025 m. IV ketv.</w:t>
            </w:r>
          </w:p>
        </w:tc>
        <w:tc>
          <w:tcPr>
            <w:tcW w:w="2235" w:type="dxa"/>
          </w:tcPr>
          <w:p w14:paraId="6B17F07A" w14:textId="77777777" w:rsidR="00D30339" w:rsidRDefault="00D30339" w:rsidP="00484EB1">
            <w:pPr>
              <w:jc w:val="both"/>
              <w:rPr>
                <w:kern w:val="2"/>
                <w:szCs w:val="24"/>
              </w:rPr>
            </w:pPr>
            <w:r>
              <w:rPr>
                <w:color w:val="000000"/>
                <w:kern w:val="2"/>
                <w:szCs w:val="24"/>
              </w:rPr>
              <w:t xml:space="preserve">Sudarytos sąlygos pacientams greičiau gauti paslaugas, informuojant pacientą apie teisę rinktis.    </w:t>
            </w:r>
          </w:p>
        </w:tc>
        <w:tc>
          <w:tcPr>
            <w:tcW w:w="3260" w:type="dxa"/>
          </w:tcPr>
          <w:p w14:paraId="71AD8994" w14:textId="7170008D" w:rsidR="00124258" w:rsidRDefault="00124258" w:rsidP="00484EB1">
            <w:pPr>
              <w:spacing w:line="247" w:lineRule="auto"/>
              <w:ind w:left="7" w:right="25"/>
              <w:jc w:val="both"/>
              <w:rPr>
                <w:szCs w:val="24"/>
              </w:rPr>
            </w:pPr>
            <w:r>
              <w:rPr>
                <w:szCs w:val="24"/>
              </w:rPr>
              <w:t>Neįgyvendinta, įstaigai tai nėra aktualu, neteikiamos ambulatorinės asmens sveikatos paslaugos</w:t>
            </w:r>
          </w:p>
          <w:p w14:paraId="10716485" w14:textId="7CAF71CC" w:rsidR="00D30339" w:rsidRDefault="00D30339" w:rsidP="00484EB1">
            <w:pPr>
              <w:spacing w:line="247" w:lineRule="auto"/>
              <w:ind w:left="7" w:right="25"/>
              <w:jc w:val="both"/>
              <w:rPr>
                <w:szCs w:val="24"/>
              </w:rPr>
            </w:pPr>
            <w:r>
              <w:rPr>
                <w:szCs w:val="24"/>
              </w:rPr>
              <w:t xml:space="preserve">Specialistų, kurie siunčiant pacientą sveikatos priežiūros paslaugoms gauti, rekomenduotų tris gydymo įstaigas, kuriose pacientas greičiau galėtų gauti jam reikalingas paslaugas, skaičius: 2024 m. </w:t>
            </w:r>
            <w:r>
              <w:rPr>
                <w:color w:val="000000"/>
                <w:kern w:val="2"/>
                <w:szCs w:val="24"/>
                <w:lang w:eastAsia="lt-LT"/>
              </w:rPr>
              <w:t>–</w:t>
            </w:r>
            <w:r>
              <w:rPr>
                <w:szCs w:val="24"/>
              </w:rPr>
              <w:t xml:space="preserve"> 100 proc., 2025 m. </w:t>
            </w:r>
            <w:r>
              <w:rPr>
                <w:color w:val="000000"/>
                <w:kern w:val="2"/>
                <w:szCs w:val="24"/>
                <w:lang w:eastAsia="lt-LT"/>
              </w:rPr>
              <w:t>–</w:t>
            </w:r>
            <w:r>
              <w:rPr>
                <w:szCs w:val="24"/>
              </w:rPr>
              <w:t xml:space="preserve"> 100 proc. </w:t>
            </w:r>
          </w:p>
          <w:p w14:paraId="692A00E1" w14:textId="77777777" w:rsidR="00D30339" w:rsidRDefault="00D30339" w:rsidP="00484EB1">
            <w:pPr>
              <w:spacing w:line="247" w:lineRule="auto"/>
              <w:ind w:left="7" w:right="25"/>
              <w:jc w:val="both"/>
              <w:rPr>
                <w:b/>
                <w:bCs/>
                <w:i/>
                <w:iCs/>
                <w:szCs w:val="24"/>
              </w:rPr>
            </w:pPr>
            <w:r>
              <w:rPr>
                <w:b/>
                <w:bCs/>
                <w:i/>
                <w:iCs/>
                <w:szCs w:val="24"/>
              </w:rPr>
              <w:t xml:space="preserve">Kriterijaus rezultato įgyvendinimas nustatomas pagal kasmetinius pacientų apklausos rezultatus.  </w:t>
            </w:r>
          </w:p>
          <w:p w14:paraId="0B70AB48" w14:textId="77777777" w:rsidR="00D30339" w:rsidRDefault="00D30339" w:rsidP="00484EB1">
            <w:pPr>
              <w:jc w:val="both"/>
              <w:rPr>
                <w:kern w:val="2"/>
                <w:szCs w:val="24"/>
              </w:rPr>
            </w:pPr>
          </w:p>
        </w:tc>
      </w:tr>
      <w:tr w:rsidR="00D30339" w14:paraId="06DC17B7" w14:textId="77777777" w:rsidTr="003C4293">
        <w:tc>
          <w:tcPr>
            <w:tcW w:w="696" w:type="dxa"/>
          </w:tcPr>
          <w:p w14:paraId="32BB0AE4" w14:textId="77777777" w:rsidR="00D30339" w:rsidRDefault="00D30339" w:rsidP="00484EB1">
            <w:pPr>
              <w:jc w:val="both"/>
              <w:rPr>
                <w:kern w:val="2"/>
                <w:szCs w:val="24"/>
              </w:rPr>
            </w:pPr>
            <w:r>
              <w:rPr>
                <w:kern w:val="2"/>
                <w:szCs w:val="24"/>
              </w:rPr>
              <w:t>4.7.</w:t>
            </w:r>
          </w:p>
        </w:tc>
        <w:tc>
          <w:tcPr>
            <w:tcW w:w="4686" w:type="dxa"/>
          </w:tcPr>
          <w:p w14:paraId="4C9D9189" w14:textId="77777777" w:rsidR="00D30339" w:rsidRDefault="00D30339" w:rsidP="00484EB1">
            <w:pPr>
              <w:jc w:val="both"/>
              <w:rPr>
                <w:kern w:val="2"/>
                <w:szCs w:val="24"/>
              </w:rPr>
            </w:pPr>
            <w:r>
              <w:rPr>
                <w:kern w:val="2"/>
                <w:szCs w:val="24"/>
              </w:rPr>
              <w:t>Vykdyti pirkimų stebėseną pagal tarptautinių ir supaprastintų viešųjų pirkimų rodiklius, skelbiamus VPT švieslentėje adresu https://vpt.lrv.lt/lt/statistika-ir-analize/pirkimu-vykdytoju-zemelapis-svieslente-1, ir a</w:t>
            </w:r>
            <w:r>
              <w:rPr>
                <w:color w:val="000000"/>
                <w:kern w:val="2"/>
                <w:szCs w:val="24"/>
              </w:rPr>
              <w:t xml:space="preserve">tlikti viešinamos informacijos analizę, o išvadas ir esant poreikiui siūlymus dėl pirkimų stebėsenos rodiklių tobulinimo, korupcijos prevencijos veiklos skaidrumo didinimo  pateikti įstaigos vadovui ar jo įgaliotam asmeniui ne rečiau nei du kartus metuose. </w:t>
            </w:r>
          </w:p>
        </w:tc>
        <w:tc>
          <w:tcPr>
            <w:tcW w:w="1576" w:type="dxa"/>
          </w:tcPr>
          <w:p w14:paraId="53E52443" w14:textId="77777777" w:rsidR="00D30339" w:rsidRDefault="00D30339" w:rsidP="00484EB1">
            <w:pPr>
              <w:jc w:val="both"/>
              <w:rPr>
                <w:kern w:val="2"/>
                <w:szCs w:val="24"/>
              </w:rPr>
            </w:pPr>
            <w:r>
              <w:rPr>
                <w:rFonts w:eastAsia="Calibri"/>
                <w:kern w:val="2"/>
                <w:szCs w:val="24"/>
              </w:rPr>
              <w:t>Ministerija, Ministerijai pavaldžios įstaigos, ASPĮ</w:t>
            </w:r>
          </w:p>
        </w:tc>
        <w:tc>
          <w:tcPr>
            <w:tcW w:w="1576" w:type="dxa"/>
          </w:tcPr>
          <w:p w14:paraId="18AD02F9" w14:textId="77777777" w:rsidR="00D30339" w:rsidRDefault="00D30339" w:rsidP="00484EB1">
            <w:pPr>
              <w:jc w:val="both"/>
              <w:rPr>
                <w:rFonts w:eastAsia="Calibri"/>
                <w:kern w:val="2"/>
                <w:szCs w:val="24"/>
              </w:rPr>
            </w:pPr>
            <w:r>
              <w:rPr>
                <w:rFonts w:eastAsia="Calibri"/>
                <w:kern w:val="2"/>
                <w:szCs w:val="24"/>
              </w:rPr>
              <w:t>2023 m. IV ketv.;</w:t>
            </w:r>
          </w:p>
          <w:p w14:paraId="4057BBC3" w14:textId="77777777" w:rsidR="00D30339" w:rsidRDefault="00D30339" w:rsidP="00484EB1">
            <w:pPr>
              <w:jc w:val="both"/>
              <w:rPr>
                <w:rFonts w:eastAsia="Calibri"/>
                <w:kern w:val="2"/>
                <w:szCs w:val="24"/>
              </w:rPr>
            </w:pPr>
            <w:r>
              <w:rPr>
                <w:rFonts w:eastAsia="Calibri"/>
                <w:kern w:val="2"/>
                <w:szCs w:val="24"/>
              </w:rPr>
              <w:t xml:space="preserve">2024 m. IV ketv.; </w:t>
            </w:r>
          </w:p>
          <w:p w14:paraId="00CAEF40" w14:textId="77777777" w:rsidR="00D30339" w:rsidRDefault="00D30339" w:rsidP="00484EB1">
            <w:pPr>
              <w:jc w:val="both"/>
              <w:rPr>
                <w:kern w:val="2"/>
                <w:szCs w:val="24"/>
              </w:rPr>
            </w:pPr>
            <w:r>
              <w:rPr>
                <w:rFonts w:eastAsia="Calibri"/>
                <w:kern w:val="2"/>
                <w:szCs w:val="24"/>
              </w:rPr>
              <w:t xml:space="preserve">2025 m. IV ketv. </w:t>
            </w:r>
          </w:p>
        </w:tc>
        <w:tc>
          <w:tcPr>
            <w:tcW w:w="2235" w:type="dxa"/>
          </w:tcPr>
          <w:p w14:paraId="044921B3" w14:textId="77777777" w:rsidR="00D30339" w:rsidRDefault="00D30339" w:rsidP="00484EB1">
            <w:pPr>
              <w:ind w:hanging="3"/>
              <w:jc w:val="both"/>
              <w:rPr>
                <w:kern w:val="2"/>
                <w:szCs w:val="24"/>
                <w:lang w:eastAsia="en-GB"/>
              </w:rPr>
            </w:pPr>
            <w:r>
              <w:rPr>
                <w:color w:val="000000"/>
                <w:kern w:val="2"/>
                <w:szCs w:val="24"/>
              </w:rPr>
              <w:t xml:space="preserve">Skaidresni, efektyviau vykdomi viešieji pirkimai, užtikrinant </w:t>
            </w:r>
            <w:r>
              <w:rPr>
                <w:kern w:val="2"/>
                <w:szCs w:val="24"/>
                <w:lang w:eastAsia="en-GB"/>
              </w:rPr>
              <w:t xml:space="preserve">viešųjų pirkimų tikslą – racionaliai naudoti skirtas lėšas. </w:t>
            </w:r>
          </w:p>
          <w:p w14:paraId="049E9365" w14:textId="77777777" w:rsidR="00D30339" w:rsidRDefault="00D30339" w:rsidP="00484EB1">
            <w:pPr>
              <w:jc w:val="both"/>
              <w:rPr>
                <w:kern w:val="2"/>
                <w:szCs w:val="24"/>
              </w:rPr>
            </w:pPr>
          </w:p>
        </w:tc>
        <w:tc>
          <w:tcPr>
            <w:tcW w:w="3260" w:type="dxa"/>
          </w:tcPr>
          <w:p w14:paraId="46BB36F8" w14:textId="2B70DD74" w:rsidR="00124258" w:rsidRPr="00AA352F" w:rsidRDefault="00124258" w:rsidP="00484EB1">
            <w:pPr>
              <w:jc w:val="both"/>
              <w:rPr>
                <w:rFonts w:eastAsia="Calibri"/>
                <w:color w:val="000000" w:themeColor="text1"/>
                <w:szCs w:val="24"/>
                <w:lang w:eastAsia="lt-LT"/>
              </w:rPr>
            </w:pPr>
            <w:r w:rsidRPr="00AA352F">
              <w:rPr>
                <w:rFonts w:eastAsia="Calibri"/>
                <w:color w:val="000000" w:themeColor="text1"/>
                <w:szCs w:val="24"/>
                <w:lang w:eastAsia="lt-LT"/>
              </w:rPr>
              <w:t>Įgyvendinta</w:t>
            </w:r>
          </w:p>
          <w:p w14:paraId="15A0C0CB" w14:textId="77777777" w:rsidR="00D30339" w:rsidRDefault="00D30339" w:rsidP="00124258">
            <w:pPr>
              <w:jc w:val="both"/>
              <w:rPr>
                <w:rFonts w:eastAsia="Calibri"/>
                <w:color w:val="000000"/>
                <w:szCs w:val="24"/>
                <w:lang w:eastAsia="lt-LT"/>
              </w:rPr>
            </w:pPr>
            <w:r>
              <w:rPr>
                <w:rFonts w:eastAsia="Calibri"/>
                <w:color w:val="000000"/>
                <w:szCs w:val="24"/>
                <w:lang w:eastAsia="lt-LT"/>
              </w:rPr>
              <w:t>Įstaigos vadovui ar jo įgaliotam asmeniui pateiktų išvadų apie atliktos viešųjų pirkimų stebėsenos pagal tarptautinių ir supaprastintų viešųjų pirkimų rodiklius analizės rezultatus ir siūlymus skaičius: 2023 m. – 1 vnt.</w:t>
            </w:r>
          </w:p>
          <w:p w14:paraId="73A7C922" w14:textId="10408997" w:rsidR="00AA352F" w:rsidRDefault="00AA352F" w:rsidP="00124258">
            <w:pPr>
              <w:jc w:val="both"/>
              <w:rPr>
                <w:kern w:val="2"/>
                <w:szCs w:val="24"/>
              </w:rPr>
            </w:pPr>
            <w:r w:rsidRPr="00AA352F">
              <w:rPr>
                <w:kern w:val="2"/>
                <w:szCs w:val="24"/>
              </w:rPr>
              <w:t>https://www.rpl.lt/viesieji-pirkimai/</w:t>
            </w:r>
          </w:p>
        </w:tc>
      </w:tr>
    </w:tbl>
    <w:p w14:paraId="29679AEF" w14:textId="77777777" w:rsidR="00D30339" w:rsidRDefault="00D30339" w:rsidP="00D30339">
      <w:pPr>
        <w:tabs>
          <w:tab w:val="left" w:pos="426"/>
        </w:tabs>
        <w:jc w:val="both"/>
        <w:rPr>
          <w:bCs/>
          <w:szCs w:val="24"/>
        </w:rPr>
      </w:pPr>
    </w:p>
    <w:p w14:paraId="4F441872" w14:textId="77777777" w:rsidR="00790E1C" w:rsidRDefault="00790E1C"/>
    <w:sectPr w:rsidR="00790E1C">
      <w:headerReference w:type="even" r:id="rId6"/>
      <w:headerReference w:type="default" r:id="rId7"/>
      <w:footerReference w:type="even" r:id="rId8"/>
      <w:footerReference w:type="default" r:id="rId9"/>
      <w:headerReference w:type="first" r:id="rId10"/>
      <w:footerReference w:type="first" r:id="rId11"/>
      <w:pgSz w:w="16838" w:h="11906" w:orient="landscape"/>
      <w:pgMar w:top="0" w:right="1812"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3B5A" w14:textId="77777777" w:rsidR="00640529" w:rsidRDefault="00640529" w:rsidP="00D30339">
      <w:r>
        <w:separator/>
      </w:r>
    </w:p>
  </w:endnote>
  <w:endnote w:type="continuationSeparator" w:id="0">
    <w:p w14:paraId="365F5433" w14:textId="77777777" w:rsidR="00640529" w:rsidRDefault="00640529" w:rsidP="00D3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D45B" w14:textId="77777777" w:rsidR="00CD41B1" w:rsidRDefault="00CD41B1">
    <w:pPr>
      <w:tabs>
        <w:tab w:val="center" w:pos="4819"/>
        <w:tab w:val="right" w:pos="9638"/>
      </w:tabs>
      <w:rPr>
        <w:kern w:val="2"/>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2675" w14:textId="77777777" w:rsidR="00CD41B1" w:rsidRDefault="00CD41B1">
    <w:pPr>
      <w:tabs>
        <w:tab w:val="center" w:pos="4819"/>
        <w:tab w:val="right" w:pos="9638"/>
      </w:tabs>
      <w:rPr>
        <w:kern w:val="2"/>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E0D3" w14:textId="77777777" w:rsidR="00CD41B1" w:rsidRDefault="00CD41B1">
    <w:pPr>
      <w:tabs>
        <w:tab w:val="center" w:pos="4819"/>
        <w:tab w:val="right" w:pos="9638"/>
      </w:tabs>
      <w:rPr>
        <w:kern w:val="2"/>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C313" w14:textId="77777777" w:rsidR="00640529" w:rsidRDefault="00640529" w:rsidP="00D30339">
      <w:r>
        <w:separator/>
      </w:r>
    </w:p>
  </w:footnote>
  <w:footnote w:type="continuationSeparator" w:id="0">
    <w:p w14:paraId="7D2B234B" w14:textId="77777777" w:rsidR="00640529" w:rsidRDefault="00640529" w:rsidP="00D30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BA03" w14:textId="77777777" w:rsidR="00CD41B1" w:rsidRDefault="00CD41B1">
    <w:pPr>
      <w:tabs>
        <w:tab w:val="center" w:pos="4819"/>
        <w:tab w:val="right" w:pos="9638"/>
      </w:tabs>
      <w:rPr>
        <w:kern w:val="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34F2" w14:textId="77777777" w:rsidR="00CD41B1" w:rsidRDefault="00000000">
    <w:pPr>
      <w:tabs>
        <w:tab w:val="center" w:pos="4819"/>
        <w:tab w:val="right" w:pos="9638"/>
      </w:tabs>
      <w:jc w:val="center"/>
      <w:rPr>
        <w:kern w:val="2"/>
        <w:sz w:val="22"/>
        <w:szCs w:val="22"/>
      </w:rPr>
    </w:pPr>
    <w:r>
      <w:rPr>
        <w:kern w:val="2"/>
        <w:sz w:val="22"/>
        <w:szCs w:val="22"/>
      </w:rPr>
      <w:fldChar w:fldCharType="begin"/>
    </w:r>
    <w:r>
      <w:rPr>
        <w:kern w:val="2"/>
        <w:sz w:val="22"/>
        <w:szCs w:val="22"/>
      </w:rPr>
      <w:instrText>PAGE   \* MERGEFORMAT</w:instrText>
    </w:r>
    <w:r>
      <w:rPr>
        <w:kern w:val="2"/>
        <w:sz w:val="22"/>
        <w:szCs w:val="22"/>
      </w:rPr>
      <w:fldChar w:fldCharType="separate"/>
    </w:r>
    <w:r>
      <w:rPr>
        <w:noProof/>
        <w:kern w:val="2"/>
        <w:sz w:val="22"/>
        <w:szCs w:val="22"/>
      </w:rPr>
      <w:t>17</w:t>
    </w:r>
    <w:r>
      <w:rPr>
        <w:kern w:val="2"/>
        <w:sz w:val="22"/>
        <w:szCs w:val="22"/>
      </w:rPr>
      <w:fldChar w:fldCharType="end"/>
    </w:r>
  </w:p>
  <w:p w14:paraId="1958F159" w14:textId="77777777" w:rsidR="00CD41B1" w:rsidRDefault="00CD41B1">
    <w:pPr>
      <w:tabs>
        <w:tab w:val="center" w:pos="4819"/>
        <w:tab w:val="right" w:pos="9638"/>
      </w:tabs>
      <w:rPr>
        <w:kern w:val="2"/>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A244" w14:textId="77777777" w:rsidR="00CD41B1" w:rsidRDefault="00CD41B1">
    <w:pPr>
      <w:tabs>
        <w:tab w:val="center" w:pos="4819"/>
        <w:tab w:val="right" w:pos="9638"/>
      </w:tabs>
      <w:rPr>
        <w:kern w:val="2"/>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39"/>
    <w:rsid w:val="0002734C"/>
    <w:rsid w:val="00124258"/>
    <w:rsid w:val="001E371A"/>
    <w:rsid w:val="003C4293"/>
    <w:rsid w:val="00467C67"/>
    <w:rsid w:val="00513B4E"/>
    <w:rsid w:val="00516BBE"/>
    <w:rsid w:val="0059545C"/>
    <w:rsid w:val="00640529"/>
    <w:rsid w:val="006D643D"/>
    <w:rsid w:val="00790E1C"/>
    <w:rsid w:val="007A6B04"/>
    <w:rsid w:val="008F2C2E"/>
    <w:rsid w:val="008F4CC4"/>
    <w:rsid w:val="00A37C0D"/>
    <w:rsid w:val="00AA352F"/>
    <w:rsid w:val="00BB1890"/>
    <w:rsid w:val="00C05DEB"/>
    <w:rsid w:val="00CB3A59"/>
    <w:rsid w:val="00CD41B1"/>
    <w:rsid w:val="00D30339"/>
    <w:rsid w:val="00D402DE"/>
    <w:rsid w:val="00DA1D19"/>
    <w:rsid w:val="00DB218D"/>
    <w:rsid w:val="00DD5719"/>
    <w:rsid w:val="00E24023"/>
    <w:rsid w:val="00F40F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4763"/>
  <w15:chartTrackingRefBased/>
  <w15:docId w15:val="{57E22D08-690F-44AB-9585-23512323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30339"/>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13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8705</Words>
  <Characters>4963</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 Rūta Bandžiulienė Rokiškio psichiatrijos ligoninė</dc:creator>
  <cp:keywords/>
  <dc:description/>
  <cp:lastModifiedBy>Gyd. Rūta Bandžiulienė Rokiškio psichiatrijos ligoninė</cp:lastModifiedBy>
  <cp:revision>11</cp:revision>
  <dcterms:created xsi:type="dcterms:W3CDTF">2024-01-08T06:58:00Z</dcterms:created>
  <dcterms:modified xsi:type="dcterms:W3CDTF">2024-01-24T09:04:00Z</dcterms:modified>
</cp:coreProperties>
</file>