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FA20" w14:textId="77777777" w:rsidR="009A1133" w:rsidRPr="002D3C72" w:rsidRDefault="009A1133" w:rsidP="009A1133">
      <w:pPr>
        <w:spacing w:after="0" w:line="240" w:lineRule="auto"/>
        <w:rPr>
          <w:rFonts w:ascii="Times New Roman" w:eastAsia="Times New Roman" w:hAnsi="Times New Roman" w:cs="Times New Roman"/>
          <w:color w:val="000000"/>
          <w:kern w:val="0"/>
          <w:sz w:val="24"/>
          <w:szCs w:val="24"/>
          <w:lang w:eastAsia="lt-LT"/>
          <w14:ligatures w14:val="none"/>
        </w:rPr>
      </w:pPr>
      <w:r w:rsidRPr="002D3C72">
        <w:rPr>
          <w:rFonts w:ascii="Times New Roman" w:eastAsia="Times New Roman" w:hAnsi="Times New Roman" w:cs="Times New Roman"/>
          <w:color w:val="000000"/>
          <w:kern w:val="0"/>
          <w:sz w:val="24"/>
          <w:szCs w:val="24"/>
          <w14:ligatures w14:val="none"/>
        </w:rPr>
        <w:t xml:space="preserve">                                                                                            PATVIRTINTA:</w:t>
      </w:r>
      <w:r w:rsidRPr="002D3C72">
        <w:rPr>
          <w:rFonts w:ascii="Times New Roman" w:eastAsia="Times New Roman" w:hAnsi="Times New Roman" w:cs="Times New Roman"/>
          <w:color w:val="000000"/>
          <w:kern w:val="0"/>
          <w:sz w:val="24"/>
          <w:szCs w:val="24"/>
          <w14:ligatures w14:val="none"/>
        </w:rPr>
        <w:tab/>
      </w:r>
    </w:p>
    <w:p w14:paraId="06624A49" w14:textId="74D9F773" w:rsidR="009A1133" w:rsidRPr="002D3C72" w:rsidRDefault="009A1133" w:rsidP="009A1133">
      <w:pPr>
        <w:spacing w:after="0" w:line="240" w:lineRule="auto"/>
        <w:ind w:left="5528" w:hanging="5812"/>
        <w:rPr>
          <w:rFonts w:ascii="Times New Roman" w:eastAsia="Times New Roman" w:hAnsi="Times New Roman" w:cs="Times New Roman"/>
          <w:color w:val="000000"/>
          <w:kern w:val="0"/>
          <w:sz w:val="24"/>
          <w:szCs w:val="24"/>
          <w:lang w:eastAsia="lt-LT"/>
          <w14:ligatures w14:val="none"/>
        </w:rPr>
      </w:pPr>
      <w:r w:rsidRPr="002D3C72">
        <w:rPr>
          <w:rFonts w:ascii="Times New Roman" w:eastAsia="Times New Roman" w:hAnsi="Times New Roman" w:cs="Times New Roman"/>
          <w:color w:val="000000"/>
          <w:kern w:val="0"/>
          <w:sz w:val="24"/>
          <w:szCs w:val="24"/>
          <w14:ligatures w14:val="none"/>
        </w:rPr>
        <w:t xml:space="preserve">                                                                                                 VšĮ Rokiškio psichiatrijos ligoninės direktoriaus 202</w:t>
      </w:r>
      <w:r w:rsidR="00026F80">
        <w:rPr>
          <w:rFonts w:ascii="Times New Roman" w:eastAsia="Times New Roman" w:hAnsi="Times New Roman" w:cs="Times New Roman"/>
          <w:color w:val="000000"/>
          <w:kern w:val="0"/>
          <w:sz w:val="24"/>
          <w:szCs w:val="24"/>
          <w14:ligatures w14:val="none"/>
        </w:rPr>
        <w:t>5-02-19</w:t>
      </w:r>
      <w:r w:rsidRPr="002D3C72">
        <w:rPr>
          <w:rFonts w:ascii="Times New Roman" w:eastAsia="Times New Roman" w:hAnsi="Times New Roman" w:cs="Times New Roman"/>
          <w:color w:val="000000"/>
          <w:kern w:val="0"/>
          <w:sz w:val="24"/>
          <w:szCs w:val="24"/>
          <w14:ligatures w14:val="none"/>
        </w:rPr>
        <w:t xml:space="preserve"> įsakymu Nr. </w:t>
      </w:r>
      <w:r w:rsidR="00026F80">
        <w:rPr>
          <w:rFonts w:ascii="Times New Roman" w:eastAsia="Times New Roman" w:hAnsi="Times New Roman" w:cs="Times New Roman"/>
          <w:color w:val="000000"/>
          <w:kern w:val="0"/>
          <w:sz w:val="24"/>
          <w:szCs w:val="24"/>
          <w14:ligatures w14:val="none"/>
        </w:rPr>
        <w:t>11</w:t>
      </w:r>
    </w:p>
    <w:p w14:paraId="03C88FE4" w14:textId="77777777" w:rsidR="009A1133" w:rsidRPr="002D3C72" w:rsidRDefault="009A1133" w:rsidP="009A1133">
      <w:pPr>
        <w:spacing w:after="0" w:line="240" w:lineRule="auto"/>
        <w:ind w:left="5812" w:hanging="5812"/>
        <w:rPr>
          <w:rFonts w:ascii="Times New Roman" w:eastAsia="Times New Roman" w:hAnsi="Times New Roman" w:cs="Times New Roman"/>
          <w:color w:val="000000"/>
          <w:kern w:val="0"/>
          <w:sz w:val="24"/>
          <w:szCs w:val="24"/>
          <w:lang w:eastAsia="lt-LT"/>
          <w14:ligatures w14:val="none"/>
        </w:rPr>
      </w:pPr>
      <w:r w:rsidRPr="002D3C72">
        <w:rPr>
          <w:rFonts w:ascii="Times New Roman" w:eastAsia="Times New Roman" w:hAnsi="Times New Roman" w:cs="Times New Roman"/>
          <w:color w:val="000000"/>
          <w:kern w:val="0"/>
          <w:sz w:val="24"/>
          <w:szCs w:val="24"/>
          <w14:ligatures w14:val="none"/>
        </w:rPr>
        <w:t xml:space="preserve">             </w:t>
      </w:r>
      <w:r w:rsidRPr="002D3C72">
        <w:rPr>
          <w:rFonts w:ascii="Times New Roman" w:eastAsia="Times New Roman" w:hAnsi="Times New Roman" w:cs="Times New Roman"/>
          <w:color w:val="000000"/>
          <w:kern w:val="0"/>
          <w:sz w:val="24"/>
          <w:szCs w:val="24"/>
          <w:lang w:eastAsia="lt-LT"/>
          <w14:ligatures w14:val="none"/>
        </w:rPr>
        <w:t xml:space="preserve">                                                                                         </w:t>
      </w:r>
    </w:p>
    <w:p w14:paraId="4044C83D" w14:textId="77777777" w:rsidR="009A1133" w:rsidRPr="002D3C72" w:rsidRDefault="009A1133" w:rsidP="009A1133">
      <w:pPr>
        <w:spacing w:after="0" w:line="240" w:lineRule="auto"/>
        <w:jc w:val="center"/>
        <w:rPr>
          <w:rFonts w:ascii="Times New Roman" w:eastAsia="Times New Roman" w:hAnsi="Times New Roman" w:cs="Times New Roman"/>
          <w:color w:val="000000"/>
          <w:kern w:val="0"/>
          <w:sz w:val="24"/>
          <w:szCs w:val="24"/>
          <w:lang w:eastAsia="lt-LT"/>
          <w14:ligatures w14:val="none"/>
        </w:rPr>
      </w:pPr>
    </w:p>
    <w:p w14:paraId="29C29EA8" w14:textId="115048BC" w:rsidR="009A1133" w:rsidRPr="002D3C72" w:rsidRDefault="009A1133" w:rsidP="009A1133">
      <w:pPr>
        <w:spacing w:after="0" w:line="240" w:lineRule="auto"/>
        <w:jc w:val="center"/>
        <w:rPr>
          <w:rFonts w:ascii="Times New Roman" w:eastAsia="Times New Roman" w:hAnsi="Times New Roman" w:cs="Times New Roman"/>
          <w:b/>
          <w:bCs/>
          <w:color w:val="000000"/>
          <w:kern w:val="0"/>
          <w:sz w:val="24"/>
          <w:szCs w:val="24"/>
          <w:lang w:eastAsia="lt-LT"/>
          <w14:ligatures w14:val="none"/>
        </w:rPr>
      </w:pPr>
      <w:r w:rsidRPr="002D3C72">
        <w:rPr>
          <w:rFonts w:ascii="Times New Roman" w:eastAsia="Times New Roman" w:hAnsi="Times New Roman" w:cs="Times New Roman"/>
          <w:b/>
          <w:color w:val="000000"/>
          <w:kern w:val="0"/>
          <w:sz w:val="24"/>
          <w:szCs w:val="24"/>
          <w14:ligatures w14:val="none"/>
        </w:rPr>
        <w:t xml:space="preserve">VIEŠOSIOS ĮSTAIGOS ROKIŠKIO PSICHIATRIJOS LIGONINĖS </w:t>
      </w:r>
      <w:r w:rsidRPr="002D3C72">
        <w:rPr>
          <w:rFonts w:ascii="Times New Roman" w:eastAsia="Aptos" w:hAnsi="Times New Roman" w:cs="Times New Roman"/>
          <w:b/>
          <w:bCs/>
          <w:color w:val="000000"/>
          <w:sz w:val="24"/>
          <w:szCs w:val="24"/>
          <w:shd w:val="clear" w:color="auto" w:fill="FFFFFF"/>
        </w:rPr>
        <w:t>ATSISAKYMO TEIKTI ASMENS SVEIKATOS PRIEŽIŪROS PASLAUGAS IR JŲ TEIKIMO NUTRAUKIMO TVARKOS APRAŠAS</w:t>
      </w:r>
    </w:p>
    <w:p w14:paraId="408BBAF9" w14:textId="77777777" w:rsidR="00790E1C" w:rsidRPr="002D3C72" w:rsidRDefault="00790E1C">
      <w:pPr>
        <w:rPr>
          <w:b/>
          <w:bCs/>
          <w:sz w:val="24"/>
          <w:szCs w:val="24"/>
        </w:rPr>
      </w:pPr>
    </w:p>
    <w:p w14:paraId="142E2260" w14:textId="77777777" w:rsidR="009A1133" w:rsidRPr="002D3C72" w:rsidRDefault="009A1133" w:rsidP="00A142E5">
      <w:pPr>
        <w:jc w:val="both"/>
        <w:rPr>
          <w:rFonts w:ascii="Times New Roman" w:hAnsi="Times New Roman" w:cs="Times New Roman"/>
          <w:sz w:val="24"/>
          <w:szCs w:val="24"/>
        </w:rPr>
      </w:pPr>
    </w:p>
    <w:p w14:paraId="50812A42" w14:textId="7A558E87" w:rsidR="009A1133" w:rsidRPr="002D3C72" w:rsidRDefault="009A1133" w:rsidP="00A142E5">
      <w:pPr>
        <w:pStyle w:val="Sraopastraipa"/>
        <w:numPr>
          <w:ilvl w:val="0"/>
          <w:numId w:val="3"/>
        </w:numPr>
        <w:jc w:val="both"/>
        <w:rPr>
          <w:rFonts w:ascii="Times New Roman" w:eastAsia="Aptos" w:hAnsi="Times New Roman" w:cs="Times New Roman"/>
          <w:bCs/>
          <w:color w:val="000000"/>
          <w:sz w:val="24"/>
          <w:szCs w:val="24"/>
          <w:shd w:val="clear" w:color="auto" w:fill="FFFFFF"/>
        </w:rPr>
      </w:pPr>
      <w:r w:rsidRPr="002D3C72">
        <w:rPr>
          <w:rFonts w:ascii="Times New Roman" w:eastAsia="Times New Roman" w:hAnsi="Times New Roman" w:cs="Times New Roman"/>
          <w:bCs/>
          <w:color w:val="000000"/>
          <w:kern w:val="0"/>
          <w:sz w:val="24"/>
          <w:szCs w:val="24"/>
          <w14:ligatures w14:val="none"/>
        </w:rPr>
        <w:t xml:space="preserve">Viešosios įstaigos Rokiškio psichiatrijos ligoninės </w:t>
      </w:r>
      <w:r w:rsidRPr="002D3C72">
        <w:rPr>
          <w:rFonts w:ascii="Times New Roman" w:eastAsia="Aptos" w:hAnsi="Times New Roman" w:cs="Times New Roman"/>
          <w:bCs/>
          <w:color w:val="000000"/>
          <w:sz w:val="24"/>
          <w:szCs w:val="24"/>
          <w:shd w:val="clear" w:color="auto" w:fill="FFFFFF"/>
        </w:rPr>
        <w:t xml:space="preserve">atsisakymo teikti asmens sveikatos priežiūros paslaugas ir jų teikimo nutraukimo tvarkos aprašas </w:t>
      </w:r>
      <w:r w:rsidR="000B10CB" w:rsidRPr="002D3C72">
        <w:rPr>
          <w:rFonts w:ascii="Times New Roman" w:eastAsia="Aptos" w:hAnsi="Times New Roman" w:cs="Times New Roman"/>
          <w:bCs/>
          <w:color w:val="000000"/>
          <w:sz w:val="24"/>
          <w:szCs w:val="24"/>
          <w:shd w:val="clear" w:color="auto" w:fill="FFFFFF"/>
        </w:rPr>
        <w:t xml:space="preserve">(toliau – Aprašas) </w:t>
      </w:r>
      <w:r w:rsidRPr="002D3C72">
        <w:rPr>
          <w:rFonts w:ascii="Times New Roman" w:eastAsia="Aptos" w:hAnsi="Times New Roman" w:cs="Times New Roman"/>
          <w:bCs/>
          <w:color w:val="000000"/>
          <w:sz w:val="24"/>
          <w:szCs w:val="24"/>
          <w:shd w:val="clear" w:color="auto" w:fill="FFFFFF"/>
        </w:rPr>
        <w:t>nustato atsisakymo teikti asmens sveikatos priežiūros paslaugas ir jų teikimo nutraukimo tvarką ligoninės pacientams.</w:t>
      </w:r>
    </w:p>
    <w:p w14:paraId="0E47CE6A" w14:textId="5EE3AFC2" w:rsidR="009A1133" w:rsidRPr="002D3C72" w:rsidRDefault="000B10CB" w:rsidP="00A142E5">
      <w:pPr>
        <w:pStyle w:val="Sraopastraipa"/>
        <w:numPr>
          <w:ilvl w:val="0"/>
          <w:numId w:val="3"/>
        </w:numPr>
        <w:jc w:val="both"/>
        <w:rPr>
          <w:rFonts w:ascii="Times New Roman" w:eastAsia="Times New Roman" w:hAnsi="Times New Roman" w:cs="Times New Roman"/>
          <w:bCs/>
          <w:color w:val="000000"/>
          <w:kern w:val="0"/>
          <w:sz w:val="24"/>
          <w:szCs w:val="24"/>
          <w:lang w:eastAsia="lt-LT"/>
          <w14:ligatures w14:val="none"/>
        </w:rPr>
      </w:pPr>
      <w:r w:rsidRPr="002D3C72">
        <w:rPr>
          <w:rFonts w:ascii="Times New Roman" w:eastAsia="Aptos" w:hAnsi="Times New Roman" w:cs="Times New Roman"/>
          <w:bCs/>
          <w:color w:val="000000"/>
          <w:sz w:val="24"/>
          <w:szCs w:val="24"/>
          <w:shd w:val="clear" w:color="auto" w:fill="FFFFFF"/>
        </w:rPr>
        <w:t>Šis aprašas galioja priėmimo ir bendrosios psichiatrijos skyriaus pacientams</w:t>
      </w:r>
      <w:r w:rsidR="00A142E5" w:rsidRPr="002D3C72">
        <w:rPr>
          <w:rFonts w:ascii="Times New Roman" w:eastAsia="Aptos" w:hAnsi="Times New Roman" w:cs="Times New Roman"/>
          <w:bCs/>
          <w:color w:val="000000"/>
          <w:sz w:val="24"/>
          <w:szCs w:val="24"/>
          <w:shd w:val="clear" w:color="auto" w:fill="FFFFFF"/>
        </w:rPr>
        <w:t xml:space="preserve"> ir asmenims, kurie atvyksta į priėmimo skyrių dėl </w:t>
      </w:r>
      <w:r w:rsidR="00191307" w:rsidRPr="002D3C72">
        <w:rPr>
          <w:rFonts w:ascii="Times New Roman" w:eastAsia="Aptos" w:hAnsi="Times New Roman" w:cs="Times New Roman"/>
          <w:bCs/>
          <w:color w:val="000000"/>
          <w:sz w:val="24"/>
          <w:szCs w:val="24"/>
          <w:shd w:val="clear" w:color="auto" w:fill="FFFFFF"/>
        </w:rPr>
        <w:t>asmens sveikatos priežiūros paslaugų teikimo.</w:t>
      </w:r>
    </w:p>
    <w:p w14:paraId="7CB4C2EF" w14:textId="77A86E28" w:rsidR="000B10CB" w:rsidRPr="002D3C72" w:rsidRDefault="009A1133" w:rsidP="00A142E5">
      <w:pPr>
        <w:pStyle w:val="Sraopastraipa"/>
        <w:numPr>
          <w:ilvl w:val="0"/>
          <w:numId w:val="3"/>
        </w:numPr>
        <w:jc w:val="both"/>
        <w:rPr>
          <w:rFonts w:ascii="Times New Roman" w:hAnsi="Times New Roman" w:cs="Times New Roman"/>
          <w:color w:val="000000"/>
          <w:sz w:val="24"/>
          <w:szCs w:val="24"/>
        </w:rPr>
      </w:pPr>
      <w:r w:rsidRPr="002D3C72">
        <w:rPr>
          <w:rFonts w:ascii="Times New Roman" w:hAnsi="Times New Roman" w:cs="Times New Roman"/>
          <w:color w:val="000000"/>
          <w:sz w:val="24"/>
          <w:szCs w:val="24"/>
        </w:rPr>
        <w:t>Gali būti atsisakyta teikti sveikatos priežiūros paslaugą pacientui arba paslaugos teikimas gali būti nutrauktas, jeigu paciento veiksmai kelia grėsmę sveikatos priežiūros specialisto, kito teikiant sveikatos priežiūros paslaugą dalyvaujančio sveikatos priežiūros įstaigos darbuotojo ir (ar) kitų pacientų sveikatai ar gyvybei</w:t>
      </w:r>
      <w:r w:rsidR="00A142E5" w:rsidRPr="002D3C72">
        <w:rPr>
          <w:rFonts w:ascii="Times New Roman" w:hAnsi="Times New Roman" w:cs="Times New Roman"/>
          <w:color w:val="000000"/>
          <w:sz w:val="24"/>
          <w:szCs w:val="24"/>
        </w:rPr>
        <w:t>.</w:t>
      </w:r>
      <w:r w:rsidRPr="002D3C72">
        <w:rPr>
          <w:rFonts w:ascii="Times New Roman" w:hAnsi="Times New Roman" w:cs="Times New Roman"/>
          <w:color w:val="000000"/>
          <w:sz w:val="24"/>
          <w:szCs w:val="24"/>
        </w:rPr>
        <w:t xml:space="preserve"> </w:t>
      </w:r>
    </w:p>
    <w:p w14:paraId="526CA5F4" w14:textId="69B217AA" w:rsidR="000B10CB" w:rsidRPr="002D3C72" w:rsidRDefault="000B10CB" w:rsidP="00A142E5">
      <w:pPr>
        <w:pStyle w:val="Sraopastraipa"/>
        <w:numPr>
          <w:ilvl w:val="0"/>
          <w:numId w:val="3"/>
        </w:numPr>
        <w:jc w:val="both"/>
        <w:rPr>
          <w:rFonts w:ascii="Times New Roman" w:hAnsi="Times New Roman" w:cs="Times New Roman"/>
          <w:color w:val="000000"/>
          <w:sz w:val="24"/>
          <w:szCs w:val="24"/>
        </w:rPr>
      </w:pPr>
      <w:r w:rsidRPr="002D3C72">
        <w:rPr>
          <w:rFonts w:ascii="Times New Roman" w:hAnsi="Times New Roman" w:cs="Times New Roman"/>
          <w:color w:val="000000"/>
          <w:sz w:val="24"/>
          <w:szCs w:val="24"/>
        </w:rPr>
        <w:t>Gali būti atsisakyta teikti sveikatos priežiūros paslaugą pacientui arba paslaugos teikimas gali būti nutrauktas</w:t>
      </w:r>
      <w:r w:rsidR="009A1133" w:rsidRPr="002D3C72">
        <w:rPr>
          <w:rFonts w:ascii="Times New Roman" w:hAnsi="Times New Roman" w:cs="Times New Roman"/>
          <w:color w:val="000000"/>
          <w:sz w:val="24"/>
          <w:szCs w:val="24"/>
        </w:rPr>
        <w:t xml:space="preserve"> jeigu pacientas asmens sveikatos priežiūros įstaigoje ar kitoje vietoje, kurioje jam turi būti pradėtos teikti arba teikiamos asmens sveikatos priežiūros paslaugos, nederamu ir nepagarbiu elgesiu žemina asmens sveikatos priežiūros specialisto garbę ir orumą ir tai trukdo jam ir (arba) kitiems pacientams teikti kokybiškas sveikatos priežiūros paslaugas, išskyrus atvejus, kai nederamą ir nepagarbų elgesį lemia jo sveikatos būklė ir (arba) kai jam teikiama būtinoji medicinos pagalba. </w:t>
      </w:r>
    </w:p>
    <w:p w14:paraId="58ED7ADD" w14:textId="77777777" w:rsidR="000B10CB" w:rsidRPr="002D3C72" w:rsidRDefault="009A1133" w:rsidP="00A142E5">
      <w:pPr>
        <w:pStyle w:val="Sraopastraipa"/>
        <w:numPr>
          <w:ilvl w:val="0"/>
          <w:numId w:val="3"/>
        </w:numPr>
        <w:jc w:val="both"/>
        <w:rPr>
          <w:rFonts w:ascii="Times New Roman" w:hAnsi="Times New Roman" w:cs="Times New Roman"/>
          <w:color w:val="000000"/>
          <w:sz w:val="24"/>
          <w:szCs w:val="24"/>
          <w:shd w:val="clear" w:color="auto" w:fill="FFFFFF"/>
        </w:rPr>
      </w:pPr>
      <w:r w:rsidRPr="002D3C72">
        <w:rPr>
          <w:rFonts w:ascii="Times New Roman" w:hAnsi="Times New Roman" w:cs="Times New Roman"/>
          <w:color w:val="000000"/>
          <w:sz w:val="24"/>
          <w:szCs w:val="24"/>
          <w:shd w:val="clear" w:color="auto" w:fill="FFFFFF"/>
        </w:rPr>
        <w:t xml:space="preserve">Kai teikiama būtinoji medicinos pagalba, nepradėti teikti sveikatos priežiūros paslaugos arba sustabdyti jos teikimą galima tik tuo atveju, kai pacientas savo veiksmais kelia grėsmę sveikatos priežiūros specialisto, kito teikiant sveikatos priežiūros paslaugą dalyvaujančio sveikatos priežiūros įstaigos darbuotojo ir (ar) kitų pacientų sveikatai ar gyvybei ir kai yra išnaudotos visos galimybės pašalinti šią grėsmę arba tokių galimybių nėra. </w:t>
      </w:r>
    </w:p>
    <w:p w14:paraId="1C43AA14" w14:textId="2D2754D0" w:rsidR="009A1133" w:rsidRPr="002D3C72" w:rsidRDefault="009A1133" w:rsidP="00A142E5">
      <w:pPr>
        <w:pStyle w:val="Sraopastraipa"/>
        <w:numPr>
          <w:ilvl w:val="0"/>
          <w:numId w:val="3"/>
        </w:numPr>
        <w:jc w:val="both"/>
        <w:rPr>
          <w:rFonts w:ascii="Times New Roman" w:hAnsi="Times New Roman" w:cs="Times New Roman"/>
          <w:color w:val="000000"/>
          <w:sz w:val="24"/>
          <w:szCs w:val="24"/>
          <w:shd w:val="clear" w:color="auto" w:fill="FFFFFF"/>
        </w:rPr>
      </w:pPr>
      <w:r w:rsidRPr="002D3C72">
        <w:rPr>
          <w:rFonts w:ascii="Times New Roman" w:hAnsi="Times New Roman" w:cs="Times New Roman"/>
          <w:color w:val="000000"/>
          <w:sz w:val="24"/>
          <w:szCs w:val="24"/>
          <w:shd w:val="clear" w:color="auto" w:fill="FFFFFF"/>
        </w:rPr>
        <w:t>Pašalinus šią grėsmę arba jai išnykus, būtinoji medicinos pagalba turi būti pradėta teikti arba tęsiama nedelsiant.</w:t>
      </w:r>
    </w:p>
    <w:p w14:paraId="42B8F5D4" w14:textId="2AD3B35A" w:rsidR="00191307" w:rsidRPr="002D3C72" w:rsidRDefault="00191307" w:rsidP="00A142E5">
      <w:pPr>
        <w:pStyle w:val="Sraopastraipa"/>
        <w:numPr>
          <w:ilvl w:val="0"/>
          <w:numId w:val="3"/>
        </w:numPr>
        <w:jc w:val="both"/>
        <w:rPr>
          <w:rFonts w:ascii="Times New Roman" w:hAnsi="Times New Roman" w:cs="Times New Roman"/>
          <w:color w:val="000000"/>
          <w:sz w:val="24"/>
          <w:szCs w:val="24"/>
          <w:shd w:val="clear" w:color="auto" w:fill="FFFFFF"/>
        </w:rPr>
      </w:pPr>
      <w:r w:rsidRPr="002D3C72">
        <w:rPr>
          <w:rFonts w:ascii="Times New Roman" w:hAnsi="Times New Roman" w:cs="Times New Roman"/>
          <w:color w:val="000000"/>
          <w:sz w:val="24"/>
          <w:szCs w:val="24"/>
          <w:shd w:val="clear" w:color="auto" w:fill="FFFFFF"/>
        </w:rPr>
        <w:t xml:space="preserve">Atsisakymą teikti asmens sveikatos paslaugas pacientui priima priėmimo ir bendrosios psichiatrijos skyriaus gydytojai – psichiatrai, o asmenims atvykusiems į priėmimo skyrių </w:t>
      </w:r>
      <w:r w:rsidR="00347044" w:rsidRPr="002D3C72">
        <w:rPr>
          <w:rFonts w:ascii="Times New Roman" w:hAnsi="Times New Roman" w:cs="Times New Roman"/>
          <w:color w:val="000000"/>
          <w:sz w:val="24"/>
          <w:szCs w:val="24"/>
          <w:shd w:val="clear" w:color="auto" w:fill="FFFFFF"/>
        </w:rPr>
        <w:t>–</w:t>
      </w:r>
      <w:r w:rsidRPr="002D3C72">
        <w:rPr>
          <w:rFonts w:ascii="Times New Roman" w:hAnsi="Times New Roman" w:cs="Times New Roman"/>
          <w:color w:val="000000"/>
          <w:sz w:val="24"/>
          <w:szCs w:val="24"/>
          <w:shd w:val="clear" w:color="auto" w:fill="FFFFFF"/>
        </w:rPr>
        <w:t xml:space="preserve"> budintis gydytojas</w:t>
      </w:r>
      <w:r w:rsidR="005D4483">
        <w:rPr>
          <w:rFonts w:ascii="Times New Roman" w:hAnsi="Times New Roman" w:cs="Times New Roman"/>
          <w:color w:val="000000"/>
          <w:sz w:val="24"/>
          <w:szCs w:val="24"/>
          <w:shd w:val="clear" w:color="auto" w:fill="FFFFFF"/>
        </w:rPr>
        <w:t xml:space="preserve"> - psichiatras</w:t>
      </w:r>
      <w:r w:rsidRPr="002D3C72">
        <w:rPr>
          <w:rFonts w:ascii="Times New Roman" w:hAnsi="Times New Roman" w:cs="Times New Roman"/>
          <w:color w:val="000000"/>
          <w:sz w:val="24"/>
          <w:szCs w:val="24"/>
          <w:shd w:val="clear" w:color="auto" w:fill="FFFFFF"/>
        </w:rPr>
        <w:t>.</w:t>
      </w:r>
    </w:p>
    <w:p w14:paraId="4D6C1883" w14:textId="3F142885" w:rsidR="004B4852" w:rsidRPr="002D3C72" w:rsidRDefault="004B4852" w:rsidP="004B4852">
      <w:pPr>
        <w:pStyle w:val="Sraopastraipa"/>
        <w:numPr>
          <w:ilvl w:val="0"/>
          <w:numId w:val="3"/>
        </w:numPr>
        <w:jc w:val="both"/>
        <w:rPr>
          <w:rFonts w:ascii="Times New Roman" w:hAnsi="Times New Roman" w:cs="Times New Roman"/>
          <w:color w:val="000000"/>
          <w:sz w:val="24"/>
          <w:szCs w:val="24"/>
          <w:shd w:val="clear" w:color="auto" w:fill="FFFFFF"/>
        </w:rPr>
      </w:pPr>
      <w:bookmarkStart w:id="0" w:name="_Hlk190786698"/>
      <w:r w:rsidRPr="002D3C72">
        <w:rPr>
          <w:rFonts w:ascii="Times New Roman" w:eastAsia="Times New Roman" w:hAnsi="Times New Roman" w:cs="Times New Roman"/>
          <w:color w:val="000000"/>
          <w:sz w:val="24"/>
          <w:szCs w:val="24"/>
          <w:lang w:eastAsia="lt-LT" w:bidi="lt-LT"/>
        </w:rPr>
        <w:t>Asmens sveikatos priežiūros paslaugas teikiantis asmens sveikatos priežiūros specialistas nustatęs Tvarkos 3 - 5 punktuose nurodytą pagrindą:</w:t>
      </w:r>
    </w:p>
    <w:p w14:paraId="60F150D0" w14:textId="741D0E17" w:rsidR="004B4852" w:rsidRPr="002D3C72" w:rsidRDefault="004B4852" w:rsidP="00362E5F">
      <w:pPr>
        <w:pStyle w:val="Bodytext20"/>
        <w:numPr>
          <w:ilvl w:val="1"/>
          <w:numId w:val="3"/>
        </w:numPr>
        <w:shd w:val="clear" w:color="auto" w:fill="auto"/>
        <w:tabs>
          <w:tab w:val="left" w:pos="1782"/>
        </w:tabs>
        <w:spacing w:before="0"/>
        <w:rPr>
          <w:sz w:val="24"/>
          <w:szCs w:val="24"/>
        </w:rPr>
      </w:pPr>
      <w:bookmarkStart w:id="1" w:name="_Hlk190786739"/>
      <w:bookmarkStart w:id="2" w:name="_Hlk190786713"/>
      <w:bookmarkEnd w:id="0"/>
      <w:r w:rsidRPr="002D3C72">
        <w:rPr>
          <w:rFonts w:ascii="Times New Roman" w:eastAsia="Times New Roman" w:hAnsi="Times New Roman" w:cs="Times New Roman"/>
          <w:color w:val="000000"/>
          <w:sz w:val="24"/>
          <w:szCs w:val="24"/>
          <w:lang w:eastAsia="lt-LT" w:bidi="lt-LT"/>
        </w:rPr>
        <w:t>įspėja pacientą žodžiu, kad dėl jo veiksmų gali būti nepradėtas / nutrauktas asmens sveikatos priežiūros paslaugų teikimas:</w:t>
      </w:r>
    </w:p>
    <w:p w14:paraId="24B63300" w14:textId="002A53E4" w:rsidR="004B4852" w:rsidRPr="002D3C72" w:rsidRDefault="004B4852" w:rsidP="00362E5F">
      <w:pPr>
        <w:pStyle w:val="Bodytext20"/>
        <w:numPr>
          <w:ilvl w:val="1"/>
          <w:numId w:val="3"/>
        </w:numPr>
        <w:shd w:val="clear" w:color="auto" w:fill="auto"/>
        <w:tabs>
          <w:tab w:val="left" w:pos="1789"/>
        </w:tabs>
        <w:spacing w:before="0"/>
        <w:rPr>
          <w:sz w:val="24"/>
          <w:szCs w:val="24"/>
        </w:rPr>
      </w:pPr>
      <w:r w:rsidRPr="002D3C72">
        <w:rPr>
          <w:rFonts w:ascii="Times New Roman" w:eastAsia="Times New Roman" w:hAnsi="Times New Roman" w:cs="Times New Roman"/>
          <w:color w:val="000000"/>
          <w:sz w:val="24"/>
          <w:szCs w:val="24"/>
          <w:lang w:eastAsia="lt-LT" w:bidi="lt-LT"/>
        </w:rPr>
        <w:t>jeigu žodinis įspėjimas paciento nesudrausmina ir paslaugų teikimą trikdanti veikla nėra nutraukiama, asmens sveikatos priežiūros specialistas esant poreikiui gali taikyti fizinio suvaržymo priemones, iškviečia</w:t>
      </w:r>
      <w:r w:rsidR="00FC6A0C" w:rsidRPr="002D3C72">
        <w:rPr>
          <w:rFonts w:ascii="Times New Roman" w:eastAsia="Times New Roman" w:hAnsi="Times New Roman" w:cs="Times New Roman"/>
          <w:color w:val="000000"/>
          <w:sz w:val="24"/>
          <w:szCs w:val="24"/>
          <w:lang w:eastAsia="lt-LT" w:bidi="lt-LT"/>
        </w:rPr>
        <w:t xml:space="preserve"> sanitarus</w:t>
      </w:r>
      <w:r w:rsidRPr="002D3C72">
        <w:rPr>
          <w:rFonts w:ascii="Times New Roman" w:eastAsia="Times New Roman" w:hAnsi="Times New Roman" w:cs="Times New Roman"/>
          <w:color w:val="000000"/>
          <w:sz w:val="24"/>
          <w:szCs w:val="24"/>
          <w:lang w:eastAsia="lt-LT" w:bidi="lt-LT"/>
        </w:rPr>
        <w:t xml:space="preserve"> (saugumo užtikrinimui) bei pacientą gydantį gydytoją (arba budintį gydytoją</w:t>
      </w:r>
      <w:r w:rsidR="005D4483">
        <w:rPr>
          <w:rFonts w:ascii="Times New Roman" w:eastAsia="Times New Roman" w:hAnsi="Times New Roman" w:cs="Times New Roman"/>
          <w:color w:val="000000"/>
          <w:sz w:val="24"/>
          <w:szCs w:val="24"/>
          <w:lang w:eastAsia="lt-LT" w:bidi="lt-LT"/>
        </w:rPr>
        <w:t xml:space="preserve"> - psichiatrą</w:t>
      </w:r>
      <w:r w:rsidRPr="002D3C72">
        <w:rPr>
          <w:rFonts w:ascii="Times New Roman" w:eastAsia="Times New Roman" w:hAnsi="Times New Roman" w:cs="Times New Roman"/>
          <w:color w:val="000000"/>
          <w:sz w:val="24"/>
          <w:szCs w:val="24"/>
          <w:lang w:eastAsia="lt-LT" w:bidi="lt-LT"/>
        </w:rPr>
        <w:t xml:space="preserve">, arba skyriaus vedėją (pagrindų nepradėti / nutraukti asmens sveikatos priežiūros paslaugų teikimą pagrįstumo įvertinimui) ir jiems </w:t>
      </w:r>
      <w:r w:rsidRPr="002D3C72">
        <w:rPr>
          <w:rFonts w:ascii="Times New Roman" w:eastAsia="Times New Roman" w:hAnsi="Times New Roman" w:cs="Times New Roman"/>
          <w:color w:val="000000"/>
          <w:sz w:val="24"/>
          <w:szCs w:val="24"/>
          <w:lang w:eastAsia="lt-LT" w:bidi="lt-LT"/>
        </w:rPr>
        <w:lastRenderedPageBreak/>
        <w:t>dalyvaujant dar kartą informuoja pacientą apie asmens sveikatos priežiūros paslaugų teikimo nepradėjimą / nutraukimą;</w:t>
      </w:r>
    </w:p>
    <w:p w14:paraId="7CCF4F01" w14:textId="34666924" w:rsidR="004B4852" w:rsidRPr="002D3C72" w:rsidRDefault="004B4852" w:rsidP="00362E5F">
      <w:pPr>
        <w:pStyle w:val="Bodytext20"/>
        <w:numPr>
          <w:ilvl w:val="1"/>
          <w:numId w:val="3"/>
        </w:numPr>
        <w:shd w:val="clear" w:color="auto" w:fill="auto"/>
        <w:tabs>
          <w:tab w:val="left" w:pos="1789"/>
        </w:tabs>
        <w:spacing w:before="0"/>
        <w:rPr>
          <w:sz w:val="24"/>
          <w:szCs w:val="24"/>
        </w:rPr>
      </w:pPr>
      <w:r w:rsidRPr="002D3C72">
        <w:rPr>
          <w:rFonts w:ascii="Times New Roman" w:eastAsia="Times New Roman" w:hAnsi="Times New Roman" w:cs="Times New Roman"/>
          <w:color w:val="000000"/>
          <w:sz w:val="24"/>
          <w:szCs w:val="24"/>
          <w:lang w:eastAsia="lt-LT" w:bidi="lt-LT"/>
        </w:rPr>
        <w:t>jeigu pacientas nutraukia savo veiksmus, o paslaugą teikęs asmens sveikatos priežiūros specialistas atsisako pradėti / tęsti paslaugos teikimą, pacientą gydantis gydytojas (budintis gydytojas</w:t>
      </w:r>
      <w:r w:rsidR="005D4483">
        <w:rPr>
          <w:rFonts w:ascii="Times New Roman" w:eastAsia="Times New Roman" w:hAnsi="Times New Roman" w:cs="Times New Roman"/>
          <w:color w:val="000000"/>
          <w:sz w:val="24"/>
          <w:szCs w:val="24"/>
          <w:lang w:eastAsia="lt-LT" w:bidi="lt-LT"/>
        </w:rPr>
        <w:t xml:space="preserve"> - psichiatras</w:t>
      </w:r>
      <w:r w:rsidRPr="002D3C72">
        <w:rPr>
          <w:rFonts w:ascii="Times New Roman" w:eastAsia="Times New Roman" w:hAnsi="Times New Roman" w:cs="Times New Roman"/>
          <w:color w:val="000000"/>
          <w:sz w:val="24"/>
          <w:szCs w:val="24"/>
          <w:lang w:eastAsia="lt-LT" w:bidi="lt-LT"/>
        </w:rPr>
        <w:t>, skyriaus vedėjas esant galimybei, gali paskirti kitą asmens sveikatos priežiūros specialistą, kuris suteiks pacientui paslaugas. Asmens sveikatos priežiūros specialistas, įspėjęs pacientą apie ketinimą nepradėti / nutraukti paslaugų teikimą, medicinos dokumentuose aprašo paciento veiksmus, dėl kurių pacientas buvo įspėtas;</w:t>
      </w:r>
    </w:p>
    <w:p w14:paraId="3816C88F" w14:textId="19EFF5DE" w:rsidR="004B4852" w:rsidRPr="002D3C72" w:rsidRDefault="004B4852" w:rsidP="00362E5F">
      <w:pPr>
        <w:pStyle w:val="Bodytext20"/>
        <w:numPr>
          <w:ilvl w:val="1"/>
          <w:numId w:val="3"/>
        </w:numPr>
        <w:shd w:val="clear" w:color="auto" w:fill="auto"/>
        <w:tabs>
          <w:tab w:val="left" w:pos="1789"/>
        </w:tabs>
        <w:spacing w:before="0"/>
        <w:rPr>
          <w:sz w:val="24"/>
          <w:szCs w:val="24"/>
        </w:rPr>
      </w:pPr>
      <w:r w:rsidRPr="002D3C72">
        <w:rPr>
          <w:rFonts w:ascii="Times New Roman" w:eastAsia="Times New Roman" w:hAnsi="Times New Roman" w:cs="Times New Roman"/>
          <w:color w:val="000000"/>
          <w:sz w:val="24"/>
          <w:szCs w:val="24"/>
          <w:lang w:eastAsia="lt-LT" w:bidi="lt-LT"/>
        </w:rPr>
        <w:t>jeigu pacientas nenutraukia savo veiksmų, gydantis gydytojas (budintis gydytojas</w:t>
      </w:r>
      <w:r w:rsidR="005D4483">
        <w:rPr>
          <w:rFonts w:ascii="Times New Roman" w:eastAsia="Times New Roman" w:hAnsi="Times New Roman" w:cs="Times New Roman"/>
          <w:color w:val="000000"/>
          <w:sz w:val="24"/>
          <w:szCs w:val="24"/>
          <w:lang w:eastAsia="lt-LT" w:bidi="lt-LT"/>
        </w:rPr>
        <w:t xml:space="preserve"> - psichiatras</w:t>
      </w:r>
      <w:r w:rsidRPr="002D3C72">
        <w:rPr>
          <w:rFonts w:ascii="Times New Roman" w:eastAsia="Times New Roman" w:hAnsi="Times New Roman" w:cs="Times New Roman"/>
          <w:color w:val="000000"/>
          <w:sz w:val="24"/>
          <w:szCs w:val="24"/>
          <w:lang w:eastAsia="lt-LT" w:bidi="lt-LT"/>
        </w:rPr>
        <w:t>) kartu su skyriaus vedėju  įvertina ar pacientui yra reikalinga būtinoji medicinos pagalba</w:t>
      </w:r>
      <w:r w:rsidR="002D3C72">
        <w:rPr>
          <w:rFonts w:ascii="Times New Roman" w:eastAsia="Times New Roman" w:hAnsi="Times New Roman" w:cs="Times New Roman"/>
          <w:color w:val="000000"/>
          <w:sz w:val="24"/>
          <w:szCs w:val="24"/>
          <w:lang w:eastAsia="lt-LT" w:bidi="lt-LT"/>
        </w:rPr>
        <w:t>.</w:t>
      </w:r>
    </w:p>
    <w:p w14:paraId="0E7E6F5C" w14:textId="04D461C0" w:rsidR="002D3C72" w:rsidRPr="002D3C72" w:rsidRDefault="004B4852" w:rsidP="002D3C72">
      <w:pPr>
        <w:pStyle w:val="Bodytext20"/>
        <w:numPr>
          <w:ilvl w:val="1"/>
          <w:numId w:val="3"/>
        </w:numPr>
        <w:shd w:val="clear" w:color="auto" w:fill="auto"/>
        <w:tabs>
          <w:tab w:val="left" w:pos="1789"/>
        </w:tabs>
        <w:spacing w:before="0"/>
        <w:rPr>
          <w:sz w:val="24"/>
          <w:szCs w:val="24"/>
        </w:rPr>
      </w:pPr>
      <w:r w:rsidRPr="002D3C72">
        <w:rPr>
          <w:rFonts w:ascii="Times New Roman" w:eastAsia="Times New Roman" w:hAnsi="Times New Roman" w:cs="Times New Roman"/>
          <w:color w:val="000000"/>
          <w:sz w:val="24"/>
          <w:szCs w:val="24"/>
          <w:lang w:eastAsia="lt-LT" w:bidi="lt-LT"/>
        </w:rPr>
        <w:t>nustatęs, kad tokio poreikio nėra. priima sprendimą dėl paciento išrašymo iš Ligoninės. Priėmęs sprendimą išrašyti pacientą išaiškina jam teisę dėl tolimesnio gydymo kreiptis į kitą asmens sveikatos priežiūros įstaigą (išskyrus būtinąją medicinos pagalbą) teisės aktų nustatyta tvarka. Išrašydamas pacientą medicinos dokumentuose pažymi, kad paslaugų teikimas buvo nutrauktas dėl paciento veiksmų ir juos aprašo, o pacientas informuotas, kad paslaugas gali gauti kitoje asmens sveikatos priežiūros įstaigoje teisės aktų nustatyta tvarka. Gydantis gydytojas (budintis gydytojas</w:t>
      </w:r>
      <w:r w:rsidR="005D4483">
        <w:rPr>
          <w:rFonts w:ascii="Times New Roman" w:eastAsia="Times New Roman" w:hAnsi="Times New Roman" w:cs="Times New Roman"/>
          <w:color w:val="000000"/>
          <w:sz w:val="24"/>
          <w:szCs w:val="24"/>
          <w:lang w:eastAsia="lt-LT" w:bidi="lt-LT"/>
        </w:rPr>
        <w:t xml:space="preserve"> - psichiatras</w:t>
      </w:r>
      <w:r w:rsidRPr="002D3C72">
        <w:rPr>
          <w:rFonts w:ascii="Times New Roman" w:eastAsia="Times New Roman" w:hAnsi="Times New Roman" w:cs="Times New Roman"/>
          <w:color w:val="000000"/>
          <w:sz w:val="24"/>
          <w:szCs w:val="24"/>
          <w:lang w:eastAsia="lt-LT" w:bidi="lt-LT"/>
        </w:rPr>
        <w:t>, skyriaus vedėjas  organizuoja paciento išlydėjimą iš Ligoninės patalpų.</w:t>
      </w:r>
    </w:p>
    <w:p w14:paraId="1E24878B" w14:textId="66F0F12E" w:rsidR="004B4852" w:rsidRPr="002D3C72" w:rsidRDefault="004B4852" w:rsidP="002D3C72">
      <w:pPr>
        <w:pStyle w:val="Bodytext20"/>
        <w:numPr>
          <w:ilvl w:val="1"/>
          <w:numId w:val="3"/>
        </w:numPr>
        <w:shd w:val="clear" w:color="auto" w:fill="auto"/>
        <w:tabs>
          <w:tab w:val="left" w:pos="1789"/>
        </w:tabs>
        <w:spacing w:before="0"/>
        <w:rPr>
          <w:sz w:val="24"/>
          <w:szCs w:val="24"/>
        </w:rPr>
      </w:pPr>
      <w:r w:rsidRPr="002D3C72">
        <w:rPr>
          <w:rFonts w:ascii="Times New Roman" w:eastAsia="Times New Roman" w:hAnsi="Times New Roman" w:cs="Times New Roman"/>
          <w:color w:val="000000"/>
          <w:sz w:val="24"/>
          <w:szCs w:val="24"/>
          <w:lang w:eastAsia="lt-LT" w:bidi="lt-LT"/>
        </w:rPr>
        <w:t xml:space="preserve"> nustatęs, kad pacientui yra reikalinga būtinoji medicinos pagalba arba būtinas stacionarinis gydymas, vadovaujasi </w:t>
      </w:r>
      <w:r w:rsidR="002D3C72">
        <w:rPr>
          <w:rFonts w:ascii="Times New Roman" w:eastAsia="Times New Roman" w:hAnsi="Times New Roman" w:cs="Times New Roman"/>
          <w:color w:val="000000"/>
          <w:sz w:val="24"/>
          <w:szCs w:val="24"/>
          <w:lang w:eastAsia="lt-LT" w:bidi="lt-LT"/>
        </w:rPr>
        <w:t>Tvarkos 6 punktu.</w:t>
      </w:r>
    </w:p>
    <w:p w14:paraId="662383C7" w14:textId="2B67F85C" w:rsidR="00FC6A0C" w:rsidRPr="002D3C72" w:rsidRDefault="004B4852" w:rsidP="002D3C72">
      <w:pPr>
        <w:pStyle w:val="Bodytext20"/>
        <w:numPr>
          <w:ilvl w:val="0"/>
          <w:numId w:val="3"/>
        </w:numPr>
        <w:shd w:val="clear" w:color="auto" w:fill="auto"/>
        <w:tabs>
          <w:tab w:val="left" w:pos="1782"/>
        </w:tabs>
        <w:spacing w:before="0"/>
        <w:rPr>
          <w:sz w:val="24"/>
          <w:szCs w:val="24"/>
        </w:rPr>
      </w:pPr>
      <w:r w:rsidRPr="002D3C72">
        <w:rPr>
          <w:rFonts w:ascii="Times New Roman" w:eastAsia="Times New Roman" w:hAnsi="Times New Roman" w:cs="Times New Roman"/>
          <w:color w:val="000000"/>
          <w:sz w:val="24"/>
          <w:szCs w:val="24"/>
          <w:lang w:eastAsia="lt-LT" w:bidi="lt-LT"/>
        </w:rPr>
        <w:t>Jeigu nepradėjimas teikti asmens sveikatos priežiūros paslaugas nesusijęs su neteisėtais paciento veiksmais asmens sveikatos priežiūros specialistas išaiškina pacientui nepradėjimo teikti asmens sveikatos priežiūros paslaugas priežastis bei jo</w:t>
      </w:r>
      <w:bookmarkEnd w:id="1"/>
      <w:bookmarkEnd w:id="2"/>
      <w:r w:rsidR="002D3C72" w:rsidRPr="002D3C72">
        <w:rPr>
          <w:sz w:val="24"/>
          <w:szCs w:val="24"/>
        </w:rPr>
        <w:t xml:space="preserve"> </w:t>
      </w:r>
      <w:r w:rsidRPr="002D3C72">
        <w:rPr>
          <w:rFonts w:ascii="Times New Roman" w:eastAsia="Times New Roman" w:hAnsi="Times New Roman" w:cs="Times New Roman"/>
          <w:color w:val="000000"/>
          <w:sz w:val="24"/>
          <w:szCs w:val="24"/>
          <w:lang w:eastAsia="lt-LT" w:bidi="lt-LT"/>
        </w:rPr>
        <w:t xml:space="preserve">galimybes gauti šią paslaugą. Informacija apie nepradėjimą teikti paslaugas, taip pat pacientui pateikta informacija apie jo galimybę gauti šias paslaugas teisės aktų nustatyta tvarka yra užfiksuojama medicinos dokumentuose, pacientas su šia informacija supažindinamas pasirašytinai. </w:t>
      </w:r>
    </w:p>
    <w:p w14:paraId="14052C83" w14:textId="2C5D9DC9" w:rsidR="004B4852" w:rsidRPr="002D3C72" w:rsidRDefault="004B4852" w:rsidP="002D3C72">
      <w:pPr>
        <w:pStyle w:val="Bodytext20"/>
        <w:numPr>
          <w:ilvl w:val="0"/>
          <w:numId w:val="3"/>
        </w:numPr>
        <w:shd w:val="clear" w:color="auto" w:fill="auto"/>
        <w:tabs>
          <w:tab w:val="left" w:pos="1782"/>
        </w:tabs>
        <w:spacing w:before="0"/>
        <w:rPr>
          <w:sz w:val="24"/>
          <w:szCs w:val="24"/>
        </w:rPr>
      </w:pPr>
      <w:r w:rsidRPr="002D3C72">
        <w:rPr>
          <w:rFonts w:ascii="Times New Roman" w:eastAsia="Times New Roman" w:hAnsi="Times New Roman" w:cs="Times New Roman"/>
          <w:color w:val="000000"/>
          <w:sz w:val="24"/>
          <w:szCs w:val="24"/>
          <w:lang w:eastAsia="lt-LT" w:bidi="lt-LT"/>
        </w:rPr>
        <w:t>Dėl  numatytų pacientų neteisėtų veiksmų asmens sveikatos priežiūros specialistai gali kreiptis į teisėsaugos institucijas teisės aktų numatyta tvarka.</w:t>
      </w:r>
    </w:p>
    <w:p w14:paraId="1B328342" w14:textId="0D6870BD" w:rsidR="006E2C19" w:rsidRPr="002D3C72" w:rsidRDefault="004B4852" w:rsidP="002D3C72">
      <w:pPr>
        <w:pStyle w:val="Bodytext20"/>
        <w:numPr>
          <w:ilvl w:val="0"/>
          <w:numId w:val="3"/>
        </w:numPr>
        <w:shd w:val="clear" w:color="auto" w:fill="auto"/>
        <w:tabs>
          <w:tab w:val="left" w:pos="1782"/>
        </w:tabs>
        <w:spacing w:before="0"/>
        <w:rPr>
          <w:sz w:val="24"/>
          <w:szCs w:val="24"/>
        </w:rPr>
      </w:pPr>
      <w:r w:rsidRPr="002D3C72">
        <w:rPr>
          <w:rFonts w:ascii="Times New Roman" w:eastAsia="Times New Roman" w:hAnsi="Times New Roman" w:cs="Times New Roman"/>
          <w:color w:val="000000"/>
          <w:sz w:val="24"/>
          <w:szCs w:val="24"/>
          <w:lang w:eastAsia="lt-LT" w:bidi="lt-LT"/>
        </w:rPr>
        <w:t xml:space="preserve">Dėl asmens sveikatos priežiūros specialisto sprendimo nepradėti / nutraukti asmens sveikatos priežiūros paslaugų teikimą, pacientas gali pateikti skundą ligoninės direktoriui. </w:t>
      </w:r>
    </w:p>
    <w:p w14:paraId="1213DCC7" w14:textId="5A6BE382" w:rsidR="00191307" w:rsidRPr="002D3C72" w:rsidRDefault="00191307" w:rsidP="002D3C72">
      <w:pPr>
        <w:pStyle w:val="Bodytext20"/>
        <w:numPr>
          <w:ilvl w:val="0"/>
          <w:numId w:val="3"/>
        </w:numPr>
        <w:shd w:val="clear" w:color="auto" w:fill="auto"/>
        <w:tabs>
          <w:tab w:val="left" w:pos="1782"/>
        </w:tabs>
        <w:spacing w:before="0"/>
        <w:rPr>
          <w:sz w:val="24"/>
          <w:szCs w:val="24"/>
        </w:rPr>
      </w:pPr>
      <w:r w:rsidRPr="002D3C72">
        <w:rPr>
          <w:rFonts w:ascii="Times New Roman" w:hAnsi="Times New Roman" w:cs="Times New Roman"/>
          <w:color w:val="000000"/>
          <w:sz w:val="24"/>
          <w:szCs w:val="24"/>
          <w:shd w:val="clear" w:color="auto" w:fill="FFFFFF"/>
        </w:rPr>
        <w:t xml:space="preserve">Šis tvarkos aprašas įsigalioja nuo 2025 metų </w:t>
      </w:r>
      <w:r w:rsidR="002D3C72">
        <w:rPr>
          <w:rFonts w:ascii="Times New Roman" w:hAnsi="Times New Roman" w:cs="Times New Roman"/>
          <w:color w:val="000000"/>
          <w:sz w:val="24"/>
          <w:szCs w:val="24"/>
          <w:shd w:val="clear" w:color="auto" w:fill="FFFFFF"/>
        </w:rPr>
        <w:t>vasario 19</w:t>
      </w:r>
      <w:r w:rsidRPr="002D3C72">
        <w:rPr>
          <w:rFonts w:ascii="Times New Roman" w:hAnsi="Times New Roman" w:cs="Times New Roman"/>
          <w:color w:val="000000"/>
          <w:sz w:val="24"/>
          <w:szCs w:val="24"/>
          <w:shd w:val="clear" w:color="auto" w:fill="FFFFFF"/>
        </w:rPr>
        <w:t xml:space="preserve"> d.</w:t>
      </w:r>
    </w:p>
    <w:p w14:paraId="6A385B05" w14:textId="279C3985" w:rsidR="00347044" w:rsidRPr="002D3C72" w:rsidRDefault="00347044" w:rsidP="00347044">
      <w:pPr>
        <w:pStyle w:val="Sraopastraipa"/>
        <w:jc w:val="center"/>
        <w:rPr>
          <w:rFonts w:ascii="Times New Roman" w:hAnsi="Times New Roman" w:cs="Times New Roman"/>
          <w:color w:val="000000"/>
          <w:sz w:val="24"/>
          <w:szCs w:val="24"/>
          <w:shd w:val="clear" w:color="auto" w:fill="FFFFFF"/>
        </w:rPr>
      </w:pPr>
      <w:r w:rsidRPr="002D3C72">
        <w:rPr>
          <w:rFonts w:ascii="Times New Roman" w:hAnsi="Times New Roman" w:cs="Times New Roman"/>
          <w:color w:val="000000"/>
          <w:sz w:val="24"/>
          <w:szCs w:val="24"/>
          <w:shd w:val="clear" w:color="auto" w:fill="FFFFFF"/>
        </w:rPr>
        <w:t>______________________________</w:t>
      </w:r>
    </w:p>
    <w:p w14:paraId="2CA1BE96" w14:textId="77777777" w:rsidR="00A142E5" w:rsidRPr="002D3C72" w:rsidRDefault="00A142E5" w:rsidP="00347044">
      <w:pPr>
        <w:jc w:val="center"/>
        <w:rPr>
          <w:rFonts w:ascii="Times New Roman" w:hAnsi="Times New Roman" w:cs="Times New Roman"/>
          <w:sz w:val="24"/>
          <w:szCs w:val="24"/>
        </w:rPr>
      </w:pPr>
    </w:p>
    <w:sectPr w:rsidR="00A142E5" w:rsidRPr="002D3C7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F826" w14:textId="77777777" w:rsidR="00732F35" w:rsidRDefault="00732F35" w:rsidP="006E2C19">
      <w:pPr>
        <w:spacing w:after="0" w:line="240" w:lineRule="auto"/>
      </w:pPr>
      <w:r>
        <w:separator/>
      </w:r>
    </w:p>
  </w:endnote>
  <w:endnote w:type="continuationSeparator" w:id="0">
    <w:p w14:paraId="7F26C6A3" w14:textId="77777777" w:rsidR="00732F35" w:rsidRDefault="00732F35" w:rsidP="006E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1C70" w14:textId="77777777" w:rsidR="00732F35" w:rsidRDefault="00732F35" w:rsidP="006E2C19">
      <w:pPr>
        <w:spacing w:after="0" w:line="240" w:lineRule="auto"/>
      </w:pPr>
      <w:r>
        <w:separator/>
      </w:r>
    </w:p>
  </w:footnote>
  <w:footnote w:type="continuationSeparator" w:id="0">
    <w:p w14:paraId="4D6939BC" w14:textId="77777777" w:rsidR="00732F35" w:rsidRDefault="00732F35" w:rsidP="006E2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104B"/>
    <w:multiLevelType w:val="multilevel"/>
    <w:tmpl w:val="74182E3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E61E7"/>
    <w:multiLevelType w:val="multilevel"/>
    <w:tmpl w:val="553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70F9B"/>
    <w:multiLevelType w:val="multilevel"/>
    <w:tmpl w:val="E2464508"/>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BC3852"/>
    <w:multiLevelType w:val="multilevel"/>
    <w:tmpl w:val="CAFA521E"/>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23404F"/>
    <w:multiLevelType w:val="multilevel"/>
    <w:tmpl w:val="BE94E57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95CE5"/>
    <w:multiLevelType w:val="multilevel"/>
    <w:tmpl w:val="1EB43EB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9901B9"/>
    <w:multiLevelType w:val="multilevel"/>
    <w:tmpl w:val="0E3C6DA6"/>
    <w:lvl w:ilvl="0">
      <w:start w:val="1"/>
      <w:numFmt w:val="decimal"/>
      <w:lvlText w:val="%1."/>
      <w:lvlJc w:val="left"/>
      <w:pPr>
        <w:ind w:left="720" w:hanging="360"/>
      </w:pPr>
    </w:lvl>
    <w:lvl w:ilvl="1">
      <w:start w:val="1"/>
      <w:numFmt w:val="decimal"/>
      <w:isLgl/>
      <w:lvlText w:val="%1.%2."/>
      <w:lvlJc w:val="left"/>
      <w:pPr>
        <w:ind w:left="840" w:hanging="480"/>
      </w:pPr>
      <w:rPr>
        <w:rFonts w:ascii="Times New Roman" w:eastAsia="Times New Roman" w:hAnsi="Times New Roman" w:cs="Times New Roman" w:hint="default"/>
        <w:color w:val="000000"/>
      </w:rPr>
    </w:lvl>
    <w:lvl w:ilvl="2">
      <w:start w:val="1"/>
      <w:numFmt w:val="decimal"/>
      <w:isLgl/>
      <w:lvlText w:val="%1.%2.%3."/>
      <w:lvlJc w:val="left"/>
      <w:pPr>
        <w:ind w:left="1080" w:hanging="720"/>
      </w:pPr>
      <w:rPr>
        <w:rFonts w:ascii="Times New Roman" w:eastAsia="Times New Roman" w:hAnsi="Times New Roman" w:cs="Times New Roman" w:hint="default"/>
        <w:color w:val="000000"/>
      </w:rPr>
    </w:lvl>
    <w:lvl w:ilvl="3">
      <w:start w:val="1"/>
      <w:numFmt w:val="decimal"/>
      <w:isLgl/>
      <w:lvlText w:val="%1.%2.%3.%4."/>
      <w:lvlJc w:val="left"/>
      <w:pPr>
        <w:ind w:left="1080" w:hanging="720"/>
      </w:pPr>
      <w:rPr>
        <w:rFonts w:ascii="Times New Roman" w:eastAsia="Times New Roman" w:hAnsi="Times New Roman" w:cs="Times New Roman" w:hint="default"/>
        <w:color w:val="000000"/>
      </w:rPr>
    </w:lvl>
    <w:lvl w:ilvl="4">
      <w:start w:val="1"/>
      <w:numFmt w:val="decimal"/>
      <w:isLgl/>
      <w:lvlText w:val="%1.%2.%3.%4.%5."/>
      <w:lvlJc w:val="left"/>
      <w:pPr>
        <w:ind w:left="1440" w:hanging="1080"/>
      </w:pPr>
      <w:rPr>
        <w:rFonts w:ascii="Times New Roman" w:eastAsia="Times New Roman" w:hAnsi="Times New Roman" w:cs="Times New Roman" w:hint="default"/>
        <w:color w:val="000000"/>
      </w:rPr>
    </w:lvl>
    <w:lvl w:ilvl="5">
      <w:start w:val="1"/>
      <w:numFmt w:val="decimal"/>
      <w:isLgl/>
      <w:lvlText w:val="%1.%2.%3.%4.%5.%6."/>
      <w:lvlJc w:val="left"/>
      <w:pPr>
        <w:ind w:left="1440" w:hanging="1080"/>
      </w:pPr>
      <w:rPr>
        <w:rFonts w:ascii="Times New Roman" w:eastAsia="Times New Roman" w:hAnsi="Times New Roman" w:cs="Times New Roman" w:hint="default"/>
        <w:color w:val="000000"/>
      </w:rPr>
    </w:lvl>
    <w:lvl w:ilvl="6">
      <w:start w:val="1"/>
      <w:numFmt w:val="decimal"/>
      <w:isLgl/>
      <w:lvlText w:val="%1.%2.%3.%4.%5.%6.%7."/>
      <w:lvlJc w:val="left"/>
      <w:pPr>
        <w:ind w:left="1800" w:hanging="1440"/>
      </w:pPr>
      <w:rPr>
        <w:rFonts w:ascii="Times New Roman" w:eastAsia="Times New Roman" w:hAnsi="Times New Roman" w:cs="Times New Roman" w:hint="default"/>
        <w:color w:val="000000"/>
      </w:rPr>
    </w:lvl>
    <w:lvl w:ilvl="7">
      <w:start w:val="1"/>
      <w:numFmt w:val="decimal"/>
      <w:isLgl/>
      <w:lvlText w:val="%1.%2.%3.%4.%5.%6.%7.%8."/>
      <w:lvlJc w:val="left"/>
      <w:pPr>
        <w:ind w:left="1800" w:hanging="1440"/>
      </w:pPr>
      <w:rPr>
        <w:rFonts w:ascii="Times New Roman" w:eastAsia="Times New Roman" w:hAnsi="Times New Roman" w:cs="Times New Roman" w:hint="default"/>
        <w:color w:val="000000"/>
      </w:rPr>
    </w:lvl>
    <w:lvl w:ilvl="8">
      <w:start w:val="1"/>
      <w:numFmt w:val="decimal"/>
      <w:isLgl/>
      <w:lvlText w:val="%1.%2.%3.%4.%5.%6.%7.%8.%9."/>
      <w:lvlJc w:val="left"/>
      <w:pPr>
        <w:ind w:left="2160" w:hanging="1800"/>
      </w:pPr>
      <w:rPr>
        <w:rFonts w:ascii="Times New Roman" w:eastAsia="Times New Roman" w:hAnsi="Times New Roman" w:cs="Times New Roman" w:hint="default"/>
        <w:color w:val="000000"/>
      </w:rPr>
    </w:lvl>
  </w:abstractNum>
  <w:abstractNum w:abstractNumId="7" w15:restartNumberingAfterBreak="0">
    <w:nsid w:val="6CCE6C3E"/>
    <w:multiLevelType w:val="multilevel"/>
    <w:tmpl w:val="CEC6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0A47"/>
    <w:multiLevelType w:val="multilevel"/>
    <w:tmpl w:val="D44850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073137">
    <w:abstractNumId w:val="1"/>
  </w:num>
  <w:num w:numId="2" w16cid:durableId="1502308195">
    <w:abstractNumId w:val="7"/>
  </w:num>
  <w:num w:numId="3" w16cid:durableId="717515285">
    <w:abstractNumId w:val="6"/>
  </w:num>
  <w:num w:numId="4" w16cid:durableId="187913789">
    <w:abstractNumId w:val="8"/>
  </w:num>
  <w:num w:numId="5" w16cid:durableId="547113254">
    <w:abstractNumId w:val="4"/>
  </w:num>
  <w:num w:numId="6" w16cid:durableId="253973092">
    <w:abstractNumId w:val="5"/>
  </w:num>
  <w:num w:numId="7" w16cid:durableId="865292012">
    <w:abstractNumId w:val="3"/>
  </w:num>
  <w:num w:numId="8" w16cid:durableId="1234664489">
    <w:abstractNumId w:val="0"/>
  </w:num>
  <w:num w:numId="9" w16cid:durableId="135360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33"/>
    <w:rsid w:val="00026F80"/>
    <w:rsid w:val="000A0B65"/>
    <w:rsid w:val="000B10CB"/>
    <w:rsid w:val="00191307"/>
    <w:rsid w:val="002D3C72"/>
    <w:rsid w:val="00316A8A"/>
    <w:rsid w:val="00347044"/>
    <w:rsid w:val="00362E5F"/>
    <w:rsid w:val="004B4852"/>
    <w:rsid w:val="00500282"/>
    <w:rsid w:val="005D3E0D"/>
    <w:rsid w:val="005D4483"/>
    <w:rsid w:val="006E2C19"/>
    <w:rsid w:val="00732F35"/>
    <w:rsid w:val="00763894"/>
    <w:rsid w:val="00790E1C"/>
    <w:rsid w:val="00813C14"/>
    <w:rsid w:val="009A1133"/>
    <w:rsid w:val="009D004F"/>
    <w:rsid w:val="00A142E5"/>
    <w:rsid w:val="00FC6A0C"/>
    <w:rsid w:val="00FD4C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FA2"/>
  <w15:chartTrackingRefBased/>
  <w15:docId w15:val="{6CC6495A-7E50-45C7-A571-49AA4D9C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11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142E5"/>
    <w:pPr>
      <w:spacing w:after="0" w:line="240" w:lineRule="auto"/>
    </w:pPr>
  </w:style>
  <w:style w:type="paragraph" w:styleId="Sraopastraipa">
    <w:name w:val="List Paragraph"/>
    <w:basedOn w:val="prastasis"/>
    <w:uiPriority w:val="34"/>
    <w:qFormat/>
    <w:rsid w:val="00A142E5"/>
    <w:pPr>
      <w:ind w:left="720"/>
      <w:contextualSpacing/>
    </w:pPr>
  </w:style>
  <w:style w:type="character" w:styleId="Komentaronuoroda">
    <w:name w:val="annotation reference"/>
    <w:basedOn w:val="Numatytasispastraiposriftas"/>
    <w:uiPriority w:val="99"/>
    <w:semiHidden/>
    <w:unhideWhenUsed/>
    <w:rsid w:val="00191307"/>
    <w:rPr>
      <w:sz w:val="16"/>
      <w:szCs w:val="16"/>
    </w:rPr>
  </w:style>
  <w:style w:type="paragraph" w:styleId="Komentarotekstas">
    <w:name w:val="annotation text"/>
    <w:basedOn w:val="prastasis"/>
    <w:link w:val="KomentarotekstasDiagrama"/>
    <w:uiPriority w:val="99"/>
    <w:semiHidden/>
    <w:unhideWhenUsed/>
    <w:rsid w:val="001913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1307"/>
    <w:rPr>
      <w:sz w:val="20"/>
      <w:szCs w:val="20"/>
    </w:rPr>
  </w:style>
  <w:style w:type="paragraph" w:styleId="Komentarotema">
    <w:name w:val="annotation subject"/>
    <w:basedOn w:val="Komentarotekstas"/>
    <w:next w:val="Komentarotekstas"/>
    <w:link w:val="KomentarotemaDiagrama"/>
    <w:uiPriority w:val="99"/>
    <w:semiHidden/>
    <w:unhideWhenUsed/>
    <w:rsid w:val="00191307"/>
    <w:rPr>
      <w:b/>
      <w:bCs/>
    </w:rPr>
  </w:style>
  <w:style w:type="character" w:customStyle="1" w:styleId="KomentarotemaDiagrama">
    <w:name w:val="Komentaro tema Diagrama"/>
    <w:basedOn w:val="KomentarotekstasDiagrama"/>
    <w:link w:val="Komentarotema"/>
    <w:uiPriority w:val="99"/>
    <w:semiHidden/>
    <w:rsid w:val="00191307"/>
    <w:rPr>
      <w:b/>
      <w:bCs/>
      <w:sz w:val="20"/>
      <w:szCs w:val="20"/>
    </w:rPr>
  </w:style>
  <w:style w:type="character" w:customStyle="1" w:styleId="Bodytext2">
    <w:name w:val="Body text (2)_"/>
    <w:basedOn w:val="Numatytasispastraiposriftas"/>
    <w:link w:val="Bodytext20"/>
    <w:rsid w:val="004B4852"/>
    <w:rPr>
      <w:shd w:val="clear" w:color="auto" w:fill="FFFFFF"/>
    </w:rPr>
  </w:style>
  <w:style w:type="paragraph" w:customStyle="1" w:styleId="Bodytext20">
    <w:name w:val="Body text (2)"/>
    <w:basedOn w:val="prastasis"/>
    <w:link w:val="Bodytext2"/>
    <w:rsid w:val="004B4852"/>
    <w:pPr>
      <w:widowControl w:val="0"/>
      <w:shd w:val="clear" w:color="auto" w:fill="FFFFFF"/>
      <w:spacing w:before="560" w:after="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98918">
      <w:bodyDiv w:val="1"/>
      <w:marLeft w:val="0"/>
      <w:marRight w:val="0"/>
      <w:marTop w:val="0"/>
      <w:marBottom w:val="0"/>
      <w:divBdr>
        <w:top w:val="none" w:sz="0" w:space="0" w:color="auto"/>
        <w:left w:val="none" w:sz="0" w:space="0" w:color="auto"/>
        <w:bottom w:val="none" w:sz="0" w:space="0" w:color="auto"/>
        <w:right w:val="none" w:sz="0" w:space="0" w:color="auto"/>
      </w:divBdr>
      <w:divsChild>
        <w:div w:id="1640573335">
          <w:marLeft w:val="0"/>
          <w:marRight w:val="0"/>
          <w:marTop w:val="120"/>
          <w:marBottom w:val="120"/>
          <w:divBdr>
            <w:top w:val="single" w:sz="2" w:space="2" w:color="333333"/>
            <w:left w:val="single" w:sz="2" w:space="0" w:color="333333"/>
            <w:bottom w:val="single" w:sz="2" w:space="2" w:color="333333"/>
            <w:right w:val="single" w:sz="2" w:space="0" w:color="333333"/>
          </w:divBdr>
        </w:div>
        <w:div w:id="324280598">
          <w:marLeft w:val="0"/>
          <w:marRight w:val="0"/>
          <w:marTop w:val="285"/>
          <w:marBottom w:val="120"/>
          <w:divBdr>
            <w:top w:val="single" w:sz="2" w:space="0" w:color="333333"/>
            <w:left w:val="single" w:sz="2" w:space="0" w:color="333333"/>
            <w:bottom w:val="single" w:sz="2" w:space="0" w:color="333333"/>
            <w:right w:val="single" w:sz="2" w:space="0" w:color="333333"/>
          </w:divBdr>
        </w:div>
      </w:divsChild>
    </w:div>
    <w:div w:id="19127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3811</Words>
  <Characters>2173</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VšĮ Rokiškio psichiatrijos ligoninė,</cp:lastModifiedBy>
  <cp:revision>6</cp:revision>
  <cp:lastPrinted>2025-02-19T09:28:00Z</cp:lastPrinted>
  <dcterms:created xsi:type="dcterms:W3CDTF">2024-12-04T06:56:00Z</dcterms:created>
  <dcterms:modified xsi:type="dcterms:W3CDTF">2025-02-19T09:28:00Z</dcterms:modified>
</cp:coreProperties>
</file>